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E8C85">
      <w:pPr>
        <w:spacing w:line="360" w:lineRule="auto"/>
        <w:jc w:val="center"/>
        <w:rPr>
          <w:rFonts w:hint="eastAsia" w:ascii="Times New Roman" w:hAnsi="Times New Roman" w:cs="Times New Roman"/>
          <w:b/>
          <w:color w:val="auto"/>
          <w:sz w:val="32"/>
          <w:szCs w:val="32"/>
          <w:highlight w:val="none"/>
          <w:lang w:val="en-US" w:eastAsia="zh-CN"/>
        </w:rPr>
      </w:pPr>
      <w:r>
        <w:rPr>
          <w:rFonts w:hint="eastAsia" w:ascii="Times New Roman" w:hAnsi="Times New Roman" w:cs="Times New Roman"/>
          <w:b/>
          <w:color w:val="auto"/>
          <w:sz w:val="32"/>
          <w:szCs w:val="32"/>
          <w:highlight w:val="none"/>
          <w:lang w:val="en-US" w:eastAsia="zh-CN"/>
        </w:rPr>
        <w:t>浙江全和兴金属制品有限公司（原德清瑞盛金属制品有限公司）</w:t>
      </w:r>
    </w:p>
    <w:p w14:paraId="6590A5A6">
      <w:pPr>
        <w:spacing w:line="360" w:lineRule="auto"/>
        <w:jc w:val="center"/>
        <w:rPr>
          <w:rFonts w:hint="eastAsia" w:ascii="Times New Roman" w:hAnsi="Times New Roman" w:cs="Times New Roman"/>
          <w:b/>
          <w:color w:val="auto"/>
          <w:sz w:val="32"/>
          <w:szCs w:val="32"/>
          <w:highlight w:val="none"/>
          <w:lang w:val="en-US" w:eastAsia="zh-CN"/>
        </w:rPr>
      </w:pPr>
      <w:r>
        <w:rPr>
          <w:rFonts w:hint="eastAsia" w:ascii="Times New Roman" w:hAnsi="Times New Roman" w:cs="Times New Roman"/>
          <w:b/>
          <w:color w:val="auto"/>
          <w:sz w:val="32"/>
          <w:szCs w:val="32"/>
          <w:highlight w:val="none"/>
          <w:lang w:val="en-US" w:eastAsia="zh-CN"/>
        </w:rPr>
        <w:t>年产30000吨钢管项目</w:t>
      </w:r>
    </w:p>
    <w:p w14:paraId="3985411A">
      <w:pPr>
        <w:spacing w:line="360" w:lineRule="auto"/>
        <w:jc w:val="center"/>
        <w:rPr>
          <w:rFonts w:hint="default" w:ascii="Times New Roman" w:hAnsi="Times New Roman" w:eastAsia="宋体" w:cs="Times New Roman"/>
          <w:b/>
          <w:bCs/>
          <w:color w:val="auto"/>
          <w:sz w:val="30"/>
          <w:szCs w:val="30"/>
          <w:highlight w:val="none"/>
          <w:lang w:val="en-US" w:eastAsia="zh-CN"/>
        </w:rPr>
      </w:pPr>
      <w:r>
        <w:rPr>
          <w:rFonts w:hint="default" w:ascii="Times New Roman" w:hAnsi="Times New Roman" w:eastAsia="宋体" w:cs="Times New Roman"/>
          <w:b/>
          <w:color w:val="auto"/>
          <w:sz w:val="32"/>
          <w:szCs w:val="32"/>
          <w:highlight w:val="none"/>
          <w:lang w:eastAsia="zh-CN"/>
        </w:rPr>
        <w:t>竣工环境保</w:t>
      </w:r>
      <w:bookmarkStart w:id="6" w:name="_GoBack"/>
      <w:bookmarkEnd w:id="6"/>
      <w:r>
        <w:rPr>
          <w:rFonts w:hint="default" w:ascii="Times New Roman" w:hAnsi="Times New Roman" w:eastAsia="宋体" w:cs="Times New Roman"/>
          <w:b/>
          <w:color w:val="auto"/>
          <w:sz w:val="32"/>
          <w:szCs w:val="32"/>
          <w:highlight w:val="none"/>
          <w:lang w:eastAsia="zh-CN"/>
        </w:rPr>
        <w:t>护验收</w:t>
      </w:r>
      <w:r>
        <w:rPr>
          <w:rFonts w:hint="default" w:ascii="Times New Roman" w:hAnsi="Times New Roman" w:eastAsia="宋体" w:cs="Times New Roman"/>
          <w:b/>
          <w:color w:val="auto"/>
          <w:sz w:val="32"/>
          <w:szCs w:val="32"/>
          <w:highlight w:val="none"/>
        </w:rPr>
        <w:t>意见</w:t>
      </w:r>
    </w:p>
    <w:p w14:paraId="6F72DE4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20</w:t>
      </w:r>
      <w:r>
        <w:rPr>
          <w:rFonts w:hint="default" w:ascii="Times New Roman" w:hAnsi="Times New Roman" w:eastAsia="宋体" w:cs="Times New Roman"/>
          <w:color w:val="auto"/>
          <w:kern w:val="0"/>
          <w:sz w:val="24"/>
          <w:highlight w:val="none"/>
          <w:lang w:val="en-US" w:eastAsia="zh-CN"/>
        </w:rPr>
        <w:t>2</w:t>
      </w:r>
      <w:r>
        <w:rPr>
          <w:rFonts w:hint="eastAsia" w:ascii="Times New Roman" w:hAnsi="Times New Roman" w:cs="Times New Roman"/>
          <w:color w:val="auto"/>
          <w:kern w:val="0"/>
          <w:sz w:val="24"/>
          <w:highlight w:val="none"/>
          <w:lang w:val="en-US" w:eastAsia="zh-CN"/>
        </w:rPr>
        <w:t>6</w:t>
      </w:r>
      <w:r>
        <w:rPr>
          <w:rFonts w:hint="default" w:ascii="Times New Roman" w:hAnsi="Times New Roman" w:eastAsia="宋体" w:cs="Times New Roman"/>
          <w:color w:val="auto"/>
          <w:kern w:val="0"/>
          <w:sz w:val="24"/>
          <w:highlight w:val="none"/>
        </w:rPr>
        <w:t>年</w:t>
      </w:r>
      <w:r>
        <w:rPr>
          <w:rFonts w:hint="eastAsia" w:ascii="Times New Roman" w:hAnsi="Times New Roman" w:cs="Times New Roman"/>
          <w:color w:val="auto"/>
          <w:kern w:val="0"/>
          <w:sz w:val="24"/>
          <w:highlight w:val="none"/>
          <w:lang w:val="en-US" w:eastAsia="zh-CN"/>
        </w:rPr>
        <w:t>8</w:t>
      </w:r>
      <w:r>
        <w:rPr>
          <w:rFonts w:hint="default" w:ascii="Times New Roman" w:hAnsi="Times New Roman" w:eastAsia="宋体" w:cs="Times New Roman"/>
          <w:color w:val="auto"/>
          <w:kern w:val="0"/>
          <w:sz w:val="24"/>
          <w:highlight w:val="none"/>
        </w:rPr>
        <w:t>月</w:t>
      </w:r>
      <w:r>
        <w:rPr>
          <w:rFonts w:hint="eastAsia" w:ascii="Times New Roman" w:hAnsi="Times New Roman" w:cs="Times New Roman"/>
          <w:color w:val="auto"/>
          <w:kern w:val="0"/>
          <w:sz w:val="24"/>
          <w:highlight w:val="none"/>
          <w:lang w:val="en-US" w:eastAsia="zh-CN"/>
        </w:rPr>
        <w:t>6</w:t>
      </w:r>
      <w:r>
        <w:rPr>
          <w:rFonts w:hint="default" w:ascii="Times New Roman" w:hAnsi="Times New Roman" w:eastAsia="宋体" w:cs="Times New Roman"/>
          <w:color w:val="auto"/>
          <w:kern w:val="0"/>
          <w:sz w:val="24"/>
          <w:highlight w:val="none"/>
        </w:rPr>
        <w:t>日</w:t>
      </w:r>
      <w:r>
        <w:rPr>
          <w:rFonts w:hint="default" w:ascii="Times New Roman" w:hAnsi="Times New Roman" w:eastAsia="宋体" w:cs="Times New Roman"/>
          <w:color w:val="auto"/>
          <w:kern w:val="0"/>
          <w:sz w:val="24"/>
          <w:highlight w:val="none"/>
        </w:rPr>
        <w:t>，建设单位</w:t>
      </w:r>
      <w:r>
        <w:rPr>
          <w:rFonts w:hint="eastAsia" w:ascii="Times New Roman" w:hAnsi="Times New Roman" w:cs="Times New Roman"/>
          <w:color w:val="auto"/>
          <w:sz w:val="24"/>
          <w:szCs w:val="24"/>
          <w:highlight w:val="none"/>
          <w:lang w:val="en-US" w:eastAsia="zh-CN"/>
        </w:rPr>
        <w:t>浙江全和兴金属制品有限公司（原德清瑞盛金属制品有限公司）</w:t>
      </w:r>
      <w:r>
        <w:rPr>
          <w:rFonts w:hint="default" w:ascii="Times New Roman" w:hAnsi="Times New Roman" w:eastAsia="宋体" w:cs="Times New Roman"/>
          <w:color w:val="auto"/>
          <w:kern w:val="0"/>
          <w:sz w:val="24"/>
          <w:highlight w:val="none"/>
        </w:rPr>
        <w:t>，根据《</w:t>
      </w:r>
      <w:r>
        <w:rPr>
          <w:rFonts w:hint="eastAsia" w:ascii="Times New Roman" w:hAnsi="Times New Roman" w:cs="Times New Roman"/>
          <w:color w:val="auto"/>
          <w:kern w:val="0"/>
          <w:sz w:val="24"/>
          <w:highlight w:val="none"/>
          <w:lang w:val="en-US" w:eastAsia="zh-CN"/>
        </w:rPr>
        <w:t>浙江全和兴金属制品有限公司（原德清瑞盛金属制品有限公司）年产30000吨钢管项目</w:t>
      </w:r>
      <w:r>
        <w:rPr>
          <w:rFonts w:hint="default" w:ascii="Times New Roman" w:hAnsi="Times New Roman" w:eastAsia="宋体" w:cs="Times New Roman"/>
          <w:color w:val="auto"/>
          <w:kern w:val="0"/>
          <w:sz w:val="24"/>
          <w:highlight w:val="none"/>
        </w:rPr>
        <w:t>竣工环境保护验收监测报告</w:t>
      </w:r>
      <w:r>
        <w:rPr>
          <w:rFonts w:hint="eastAsia" w:ascii="Times New Roman" w:hAnsi="Times New Roman" w:cs="Times New Roman"/>
          <w:color w:val="auto"/>
          <w:kern w:val="0"/>
          <w:sz w:val="24"/>
          <w:highlight w:val="none"/>
          <w:lang w:val="en-US" w:eastAsia="zh-CN"/>
        </w:rPr>
        <w:t>表</w:t>
      </w:r>
      <w:r>
        <w:rPr>
          <w:rFonts w:hint="default" w:ascii="Times New Roman" w:hAnsi="Times New Roman" w:eastAsia="宋体" w:cs="Times New Roman"/>
          <w:color w:val="auto"/>
          <w:kern w:val="0"/>
          <w:sz w:val="24"/>
          <w:highlight w:val="none"/>
        </w:rPr>
        <w:t>》，并对照《建设项目竣工环境保护验收暂行办法》，严格依照国家有关法律法规、建设项目竣工环境保护验收技术规范、项目环境影响</w:t>
      </w:r>
      <w:r>
        <w:rPr>
          <w:rFonts w:hint="default" w:ascii="Times New Roman" w:hAnsi="Times New Roman" w:eastAsia="宋体" w:cs="Times New Roman"/>
          <w:color w:val="auto"/>
          <w:kern w:val="0"/>
          <w:sz w:val="24"/>
          <w:highlight w:val="none"/>
          <w:lang w:val="en-US" w:eastAsia="zh-CN"/>
        </w:rPr>
        <w:t>登记表</w:t>
      </w:r>
      <w:r>
        <w:rPr>
          <w:rFonts w:hint="default" w:ascii="Times New Roman" w:hAnsi="Times New Roman" w:eastAsia="宋体" w:cs="Times New Roman"/>
          <w:color w:val="auto"/>
          <w:kern w:val="0"/>
          <w:sz w:val="24"/>
          <w:highlight w:val="none"/>
        </w:rPr>
        <w:t>和</w:t>
      </w:r>
      <w:r>
        <w:rPr>
          <w:rFonts w:hint="eastAsia" w:ascii="Times New Roman" w:hAnsi="Times New Roman" w:cs="Times New Roman"/>
          <w:color w:val="auto"/>
          <w:kern w:val="0"/>
          <w:sz w:val="24"/>
          <w:highlight w:val="none"/>
          <w:lang w:val="en-US" w:eastAsia="zh-CN"/>
        </w:rPr>
        <w:t>备案承诺书</w:t>
      </w:r>
      <w:r>
        <w:rPr>
          <w:rFonts w:hint="default" w:ascii="Times New Roman" w:hAnsi="Times New Roman" w:eastAsia="宋体" w:cs="Times New Roman"/>
          <w:color w:val="auto"/>
          <w:kern w:val="0"/>
          <w:sz w:val="24"/>
          <w:highlight w:val="none"/>
        </w:rPr>
        <w:t>等要求对</w:t>
      </w:r>
      <w:r>
        <w:rPr>
          <w:rFonts w:hint="eastAsia" w:ascii="Times New Roman" w:hAnsi="Times New Roman" w:cs="Times New Roman"/>
          <w:color w:val="auto"/>
          <w:kern w:val="0"/>
          <w:sz w:val="24"/>
          <w:highlight w:val="none"/>
          <w:lang w:val="en-US" w:eastAsia="zh-CN"/>
        </w:rPr>
        <w:t>浙江全和兴金属制品有限公司（原德清瑞盛金属制品有限公司）年产30000吨钢管项目（以下简称本项目）</w:t>
      </w:r>
      <w:r>
        <w:rPr>
          <w:rFonts w:hint="default" w:ascii="Times New Roman" w:hAnsi="Times New Roman" w:eastAsia="宋体" w:cs="Times New Roman"/>
          <w:color w:val="auto"/>
          <w:kern w:val="0"/>
          <w:sz w:val="24"/>
          <w:highlight w:val="none"/>
        </w:rPr>
        <w:t>进行验收，提出意见如下：</w:t>
      </w:r>
    </w:p>
    <w:p w14:paraId="52985AA2">
      <w:pPr>
        <w:numPr>
          <w:ilvl w:val="0"/>
          <w:numId w:val="1"/>
        </w:numPr>
        <w:spacing w:line="360" w:lineRule="auto"/>
        <w:rPr>
          <w:rFonts w:hint="default" w:ascii="Times New Roman" w:hAnsi="Times New Roman" w:eastAsia="宋体" w:cs="Times New Roman"/>
          <w:b/>
          <w:color w:val="auto"/>
          <w:kern w:val="0"/>
          <w:sz w:val="24"/>
          <w:highlight w:val="none"/>
        </w:rPr>
      </w:pPr>
      <w:r>
        <w:rPr>
          <w:rFonts w:hint="default" w:ascii="Times New Roman" w:hAnsi="Times New Roman" w:eastAsia="宋体" w:cs="Times New Roman"/>
          <w:b/>
          <w:color w:val="auto"/>
          <w:kern w:val="0"/>
          <w:sz w:val="24"/>
          <w:highlight w:val="none"/>
        </w:rPr>
        <w:t>建设项目基本情况：</w:t>
      </w:r>
    </w:p>
    <w:p w14:paraId="19D04C38">
      <w:pPr>
        <w:spacing w:line="360" w:lineRule="auto"/>
        <w:ind w:firstLine="480" w:firstLineChars="200"/>
        <w:rPr>
          <w:rFonts w:hint="eastAsia" w:ascii="Times New Roman" w:hAnsi="Times New Roman" w:cs="Times New Roman"/>
          <w:b w:val="0"/>
          <w:bCs w:val="0"/>
          <w:color w:val="auto"/>
          <w:kern w:val="0"/>
          <w:sz w:val="24"/>
          <w:highlight w:val="none"/>
          <w:lang w:val="en-US" w:eastAsia="zh-CN"/>
        </w:rPr>
      </w:pPr>
      <w:r>
        <w:rPr>
          <w:rFonts w:hint="eastAsia" w:ascii="Times New Roman" w:hAnsi="Times New Roman" w:cs="Times New Roman"/>
          <w:b w:val="0"/>
          <w:bCs w:val="0"/>
          <w:color w:val="auto"/>
          <w:kern w:val="0"/>
          <w:sz w:val="24"/>
          <w:highlight w:val="none"/>
          <w:lang w:val="en-US" w:eastAsia="zh-CN"/>
        </w:rPr>
        <w:t>浙江全和兴金属制品有限公司原名德清瑞盛金属制品有限公司，成立于2021年3月15日，注册地位于浙江省湖州市德清县阜溪街道环城北路732号，是一家从事金属材料制造，金属材料销售，金属制品销售等业务的公司。企业于2026年1月8日完成工商名称变更，变更为浙江全和兴金属制品有限公司。</w:t>
      </w:r>
    </w:p>
    <w:p w14:paraId="56E61B25">
      <w:pPr>
        <w:spacing w:line="360" w:lineRule="auto"/>
        <w:ind w:firstLine="482" w:firstLineChars="200"/>
        <w:rPr>
          <w:rFonts w:hint="eastAsia" w:ascii="Times New Roman" w:hAnsi="Times New Roman" w:cs="Times New Roman"/>
          <w:b/>
          <w:bCs/>
          <w:color w:val="auto"/>
          <w:kern w:val="0"/>
          <w:sz w:val="24"/>
          <w:highlight w:val="none"/>
          <w:lang w:val="en-US" w:eastAsia="zh-CN"/>
        </w:rPr>
      </w:pPr>
      <w:r>
        <w:rPr>
          <w:rFonts w:hint="eastAsia" w:ascii="Times New Roman" w:hAnsi="Times New Roman" w:cs="Times New Roman"/>
          <w:b/>
          <w:bCs/>
          <w:color w:val="auto"/>
          <w:kern w:val="0"/>
          <w:sz w:val="24"/>
          <w:highlight w:val="none"/>
          <w:lang w:val="en-US" w:eastAsia="zh-CN"/>
        </w:rPr>
        <w:t>环评审批情况：</w:t>
      </w:r>
    </w:p>
    <w:p w14:paraId="4F876D58">
      <w:pPr>
        <w:spacing w:line="360" w:lineRule="auto"/>
        <w:ind w:firstLine="480" w:firstLineChars="200"/>
        <w:rPr>
          <w:rFonts w:hint="eastAsia" w:ascii="Times New Roman" w:hAnsi="Times New Roman" w:cs="Times New Roman"/>
          <w:color w:val="auto"/>
          <w:kern w:val="0"/>
          <w:sz w:val="24"/>
          <w:highlight w:val="none"/>
          <w:lang w:val="en-US" w:eastAsia="zh-CN"/>
        </w:rPr>
      </w:pPr>
      <w:bookmarkStart w:id="0" w:name="OLE_LINK75"/>
      <w:r>
        <w:rPr>
          <w:rFonts w:hint="eastAsia" w:ascii="Times New Roman" w:hAnsi="Times New Roman" w:cs="Times New Roman"/>
          <w:color w:val="auto"/>
          <w:kern w:val="0"/>
          <w:sz w:val="24"/>
          <w:highlight w:val="none"/>
          <w:lang w:val="en-US" w:eastAsia="zh-CN"/>
        </w:rPr>
        <w:t>企业于2021年3月18日申报过“德清瑞盛金属制品有限公司年产2万5000吨钢管项目”，已由德清县湖州莫干山高新技术产业开发区管理委员会备案对照《建设项目环境影响评价分类管理名录（2021版）》（生态环境部令第16号），现有项目属于“三十、金属制品业 33-66、结构性金属制品制造331”中“仅分割、焊接、组装的除外；年用非溶剂型低VOCs含量涂料10吨以下的除外”，无需办理环评手续。</w:t>
      </w:r>
    </w:p>
    <w:p w14:paraId="6F24507C">
      <w:pPr>
        <w:spacing w:line="360" w:lineRule="auto"/>
        <w:ind w:firstLine="480" w:firstLineChars="200"/>
        <w:rPr>
          <w:rFonts w:hint="eastAsia" w:ascii="Times New Roman" w:hAnsi="Times New Roman"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本次搬迁项目系购买</w:t>
      </w:r>
      <w:bookmarkStart w:id="1" w:name="OLE_LINK114"/>
      <w:r>
        <w:rPr>
          <w:rFonts w:hint="eastAsia" w:ascii="Times New Roman" w:hAnsi="Times New Roman" w:cs="Times New Roman"/>
          <w:color w:val="auto"/>
          <w:kern w:val="0"/>
          <w:sz w:val="24"/>
          <w:highlight w:val="none"/>
          <w:lang w:val="en-US" w:eastAsia="zh-CN"/>
        </w:rPr>
        <w:t>浙江恒毅包装材料有限公司</w:t>
      </w:r>
      <w:bookmarkEnd w:id="1"/>
      <w:r>
        <w:rPr>
          <w:rFonts w:hint="eastAsia" w:ascii="Times New Roman" w:hAnsi="Times New Roman" w:cs="Times New Roman"/>
          <w:color w:val="auto"/>
          <w:kern w:val="0"/>
          <w:sz w:val="24"/>
          <w:highlight w:val="none"/>
          <w:lang w:val="en-US" w:eastAsia="zh-CN"/>
        </w:rPr>
        <w:t>的土地及配套厂房组织生产，搬迁部分原有生产设备，并购置直缝高频焊管机组、切管机、冷却循环水池、空气压缩机等设备，形成年产30000吨钢管的生产能力。</w:t>
      </w:r>
      <w:bookmarkEnd w:id="0"/>
      <w:r>
        <w:rPr>
          <w:rFonts w:hint="eastAsia" w:ascii="Times New Roman" w:hAnsi="Times New Roman" w:cs="Times New Roman"/>
          <w:color w:val="auto"/>
          <w:kern w:val="0"/>
          <w:sz w:val="24"/>
          <w:highlight w:val="none"/>
          <w:lang w:val="en-US" w:eastAsia="zh-CN"/>
        </w:rPr>
        <w:t>为严格履行环境影响评价制度，企业于2025年12月，委托浙江仕远环境科技有限公司编制完成了《德清瑞盛金属制品有限公司年产30000吨钢管项目环境影响登记表》，并于2025年12月31日通过了湖州市生态环境局德清分局的审查，审查文号为湖德环建备[2025]23号。企业已完成固定污染源排污许可登记，登记编号为91330521MA2JJ7EU52001W。</w:t>
      </w:r>
    </w:p>
    <w:p w14:paraId="79DA4AC4">
      <w:pPr>
        <w:spacing w:line="360" w:lineRule="auto"/>
        <w:ind w:firstLine="482" w:firstLineChars="200"/>
        <w:rPr>
          <w:rFonts w:hint="eastAsia" w:ascii="Times New Roman" w:hAnsi="Times New Roman" w:cs="Times New Roman"/>
          <w:b/>
          <w:bCs/>
          <w:color w:val="auto"/>
          <w:kern w:val="0"/>
          <w:sz w:val="24"/>
          <w:highlight w:val="none"/>
          <w:lang w:val="en-US" w:eastAsia="zh-CN"/>
        </w:rPr>
      </w:pPr>
      <w:r>
        <w:rPr>
          <w:rFonts w:hint="eastAsia" w:ascii="Times New Roman" w:hAnsi="Times New Roman" w:cs="Times New Roman"/>
          <w:b/>
          <w:bCs/>
          <w:color w:val="auto"/>
          <w:kern w:val="0"/>
          <w:sz w:val="24"/>
          <w:highlight w:val="none"/>
          <w:lang w:val="en-US" w:eastAsia="zh-CN"/>
        </w:rPr>
        <w:t>验收情况：</w:t>
      </w:r>
    </w:p>
    <w:p w14:paraId="5A2D8A15">
      <w:pPr>
        <w:spacing w:line="360" w:lineRule="auto"/>
        <w:ind w:firstLine="480" w:firstLineChars="200"/>
        <w:rPr>
          <w:rFonts w:hint="eastAsia" w:ascii="Times New Roman" w:hAnsi="Times New Roman"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本项目于2026年1月14日开工建设进行设备安装，2026年2月28日竣工，竣工后于2026年3月-2026年7月进入试运行。本项目实际总投资6500万元，其中环保投资43万元，约占项目总投资的0.7％。企业于2026年7月着手开展本项目的自主竣工环境保护验收工作，对照项目环境影响登记表文本和备案承诺书，对项目和环境保护设施建设情况进行了验收自查，然后根据自查结果于2026年7月编制完成验收监测方案，并委托中昱（浙江）环境监测股份有限公司于2026年7月20日-2026年7月21日进行了现场验收监测，通过对该工程“三同时”执行情况和效果的检查并依据监测结果及相应的国家有关环境标准，编制了本项目竣工环境保护验收监测报告表。</w:t>
      </w:r>
    </w:p>
    <w:p w14:paraId="741A6386">
      <w:pPr>
        <w:spacing w:line="360" w:lineRule="auto"/>
        <w:ind w:firstLine="480" w:firstLineChars="200"/>
        <w:rPr>
          <w:rFonts w:hint="eastAsia" w:ascii="Times New Roman" w:hAnsi="Times New Roman"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本次针对企业在产的年产30000吨钢管及其配套工程、环保工程进行竣工环境保护“三同时”验收。</w:t>
      </w:r>
    </w:p>
    <w:p w14:paraId="4937DBC8">
      <w:pPr>
        <w:spacing w:line="360" w:lineRule="auto"/>
        <w:ind w:firstLine="482" w:firstLineChars="200"/>
        <w:outlineLvl w:val="0"/>
        <w:rPr>
          <w:rFonts w:hint="default" w:ascii="Times New Roman" w:hAnsi="Times New Roman" w:eastAsia="宋体" w:cs="Times New Roman"/>
          <w:b w:val="0"/>
          <w:bCs/>
          <w:color w:val="auto"/>
          <w:kern w:val="0"/>
          <w:sz w:val="24"/>
          <w:highlight w:val="none"/>
        </w:rPr>
      </w:pPr>
      <w:r>
        <w:rPr>
          <w:rFonts w:hint="default" w:ascii="Times New Roman" w:hAnsi="Times New Roman" w:eastAsia="宋体" w:cs="Times New Roman"/>
          <w:b/>
          <w:color w:val="auto"/>
          <w:kern w:val="0"/>
          <w:sz w:val="24"/>
          <w:highlight w:val="none"/>
        </w:rPr>
        <w:t>二、工程变动情况</w:t>
      </w:r>
    </w:p>
    <w:p w14:paraId="0BAA4B37">
      <w:pPr>
        <w:spacing w:line="360" w:lineRule="auto"/>
        <w:ind w:firstLine="480" w:firstLineChars="200"/>
        <w:jc w:val="both"/>
        <w:outlineLvl w:val="0"/>
        <w:rPr>
          <w:rFonts w:hint="eastAsia" w:ascii="Times New Roman" w:hAnsi="Times New Roman" w:eastAsia="宋体" w:cs="Times New Roman"/>
          <w:b w:val="0"/>
          <w:bCs/>
          <w:color w:val="auto"/>
          <w:kern w:val="0"/>
          <w:sz w:val="24"/>
          <w:szCs w:val="24"/>
          <w:highlight w:val="none"/>
          <w:lang w:eastAsia="zh-CN"/>
        </w:rPr>
      </w:pPr>
      <w:bookmarkStart w:id="2" w:name="_Toc498351802"/>
      <w:bookmarkStart w:id="3" w:name="_Toc498700049"/>
      <w:bookmarkStart w:id="4" w:name="_Toc498412723"/>
      <w:r>
        <w:rPr>
          <w:rFonts w:ascii="Times New Roman" w:hAnsi="Times New Roman" w:eastAsia="宋体" w:cs="Times New Roman"/>
          <w:b w:val="0"/>
          <w:bCs/>
          <w:color w:val="auto"/>
          <w:kern w:val="0"/>
          <w:sz w:val="24"/>
          <w:szCs w:val="24"/>
          <w:highlight w:val="none"/>
        </w:rPr>
        <w:t>经现场踏勘并对照环评文件</w:t>
      </w:r>
      <w:r>
        <w:rPr>
          <w:rFonts w:hint="eastAsia" w:ascii="Times New Roman" w:hAnsi="Times New Roman" w:eastAsia="宋体" w:cs="Times New Roman"/>
          <w:b w:val="0"/>
          <w:bCs/>
          <w:color w:val="auto"/>
          <w:kern w:val="0"/>
          <w:sz w:val="24"/>
          <w:szCs w:val="24"/>
          <w:highlight w:val="none"/>
          <w:lang w:eastAsia="zh-CN"/>
        </w:rPr>
        <w:t>：</w:t>
      </w:r>
    </w:p>
    <w:p w14:paraId="4BA4EDEF">
      <w:pPr>
        <w:spacing w:line="360" w:lineRule="auto"/>
        <w:ind w:firstLine="482" w:firstLineChars="200"/>
        <w:jc w:val="both"/>
        <w:outlineLvl w:val="0"/>
        <w:rPr>
          <w:rFonts w:hint="eastAsia" w:ascii="Times New Roman" w:hAnsi="Times New Roman" w:eastAsia="宋体" w:cs="Times New Roman"/>
          <w:b w:val="0"/>
          <w:bCs/>
          <w:color w:val="auto"/>
          <w:kern w:val="0"/>
          <w:sz w:val="24"/>
          <w:szCs w:val="24"/>
          <w:highlight w:val="none"/>
          <w:lang w:val="en-US" w:eastAsia="zh-CN"/>
        </w:rPr>
      </w:pPr>
      <w:r>
        <w:rPr>
          <w:rFonts w:hint="eastAsia" w:ascii="Times New Roman" w:hAnsi="Times New Roman" w:cs="Times New Roman"/>
          <w:b/>
          <w:bCs w:val="0"/>
          <w:color w:val="auto"/>
          <w:kern w:val="0"/>
          <w:sz w:val="24"/>
          <w:szCs w:val="24"/>
          <w:highlight w:val="none"/>
          <w:lang w:val="en-US" w:eastAsia="zh-CN"/>
        </w:rPr>
        <w:t>（1）地点：</w:t>
      </w:r>
      <w:r>
        <w:rPr>
          <w:rFonts w:hint="eastAsia" w:ascii="Times New Roman" w:hAnsi="Times New Roman" w:cs="Times New Roman"/>
          <w:b w:val="0"/>
          <w:bCs/>
          <w:color w:val="auto"/>
          <w:kern w:val="0"/>
          <w:sz w:val="24"/>
          <w:szCs w:val="24"/>
          <w:highlight w:val="none"/>
          <w:lang w:val="en-US" w:eastAsia="zh-CN"/>
        </w:rPr>
        <w:t>建设地点与环评审批一致；总建筑面积与环评审批一致；总平面布置与环评审批部分不一致，主要变化如下</w:t>
      </w:r>
      <w:r>
        <w:rPr>
          <w:rFonts w:hint="eastAsia" w:ascii="Times New Roman" w:hAnsi="Times New Roman" w:eastAsia="宋体" w:cs="Times New Roman"/>
          <w:b w:val="0"/>
          <w:bCs/>
          <w:color w:val="auto"/>
          <w:kern w:val="0"/>
          <w:sz w:val="24"/>
          <w:szCs w:val="24"/>
          <w:highlight w:val="none"/>
          <w:lang w:val="en-US" w:eastAsia="zh-CN"/>
        </w:rPr>
        <w:t>：</w:t>
      </w:r>
    </w:p>
    <w:p w14:paraId="59D62B63">
      <w:pPr>
        <w:spacing w:line="360" w:lineRule="auto"/>
        <w:ind w:firstLine="482" w:firstLineChars="200"/>
        <w:jc w:val="both"/>
        <w:outlineLvl w:val="0"/>
        <w:rPr>
          <w:rFonts w:hint="eastAsia" w:ascii="Times New Roman" w:hAnsi="Times New Roman" w:eastAsia="宋体" w:cs="Times New Roman"/>
          <w:b/>
          <w:bCs w:val="0"/>
          <w:color w:val="auto"/>
          <w:kern w:val="0"/>
          <w:sz w:val="24"/>
          <w:szCs w:val="24"/>
          <w:highlight w:val="none"/>
          <w:lang w:val="en-US" w:eastAsia="zh-CN"/>
        </w:rPr>
      </w:pPr>
      <w:r>
        <w:rPr>
          <w:rFonts w:hint="eastAsia" w:ascii="Times New Roman" w:hAnsi="Times New Roman" w:eastAsia="宋体" w:cs="Times New Roman"/>
          <w:b/>
          <w:bCs w:val="0"/>
          <w:color w:val="auto"/>
          <w:kern w:val="0"/>
          <w:sz w:val="24"/>
          <w:szCs w:val="24"/>
          <w:highlight w:val="none"/>
          <w:lang w:val="en-US" w:eastAsia="zh-CN"/>
        </w:rPr>
        <w:t>环评审批：</w:t>
      </w:r>
    </w:p>
    <w:p w14:paraId="615BD882">
      <w:pPr>
        <w:spacing w:line="360" w:lineRule="auto"/>
        <w:ind w:firstLine="480" w:firstLineChars="200"/>
        <w:jc w:val="both"/>
        <w:outlineLvl w:val="0"/>
        <w:rPr>
          <w:rFonts w:hint="eastAsia" w:ascii="Times New Roman" w:hAnsi="Times New Roman" w:eastAsia="宋体" w:cs="Times New Roman"/>
          <w:b w:val="0"/>
          <w:bCs/>
          <w:color w:val="auto"/>
          <w:kern w:val="0"/>
          <w:sz w:val="24"/>
          <w:szCs w:val="24"/>
          <w:highlight w:val="none"/>
          <w:lang w:val="en-US" w:eastAsia="zh-CN"/>
        </w:rPr>
      </w:pPr>
      <w:r>
        <w:rPr>
          <w:rFonts w:hint="eastAsia" w:ascii="Times New Roman" w:hAnsi="Times New Roman" w:eastAsia="宋体" w:cs="Times New Roman"/>
          <w:b w:val="0"/>
          <w:bCs/>
          <w:color w:val="auto"/>
          <w:kern w:val="0"/>
          <w:sz w:val="24"/>
          <w:szCs w:val="24"/>
          <w:highlight w:val="none"/>
          <w:lang w:val="en-US" w:eastAsia="zh-CN"/>
        </w:rPr>
        <w:t>①生产车间共1F，建筑面积15000m</w:t>
      </w:r>
      <w:r>
        <w:rPr>
          <w:rFonts w:hint="eastAsia" w:ascii="Times New Roman" w:hAnsi="Times New Roman" w:eastAsia="宋体" w:cs="Times New Roman"/>
          <w:b w:val="0"/>
          <w:bCs/>
          <w:color w:val="auto"/>
          <w:kern w:val="0"/>
          <w:sz w:val="24"/>
          <w:szCs w:val="24"/>
          <w:highlight w:val="none"/>
          <w:vertAlign w:val="superscript"/>
          <w:lang w:val="en-US" w:eastAsia="zh-CN"/>
        </w:rPr>
        <w:t>2</w:t>
      </w:r>
      <w:r>
        <w:rPr>
          <w:rFonts w:hint="eastAsia" w:ascii="Times New Roman" w:hAnsi="Times New Roman" w:eastAsia="宋体" w:cs="Times New Roman"/>
          <w:b w:val="0"/>
          <w:bCs/>
          <w:color w:val="auto"/>
          <w:kern w:val="0"/>
          <w:sz w:val="24"/>
          <w:szCs w:val="24"/>
          <w:highlight w:val="none"/>
          <w:lang w:val="en-US" w:eastAsia="zh-CN"/>
        </w:rPr>
        <w:t>，车间内设置有钢管生产区、不锈钢管生产区、抛光区、烘干区、缩封区、切管区、去毛刺区、冲孔区、水池区、半成品堆放区、成品区、待发货区、一般固废暂存场所和生产办公室等。</w:t>
      </w:r>
    </w:p>
    <w:p w14:paraId="67B9A788">
      <w:pPr>
        <w:spacing w:line="360" w:lineRule="auto"/>
        <w:ind w:firstLine="480" w:firstLineChars="200"/>
        <w:jc w:val="both"/>
        <w:outlineLvl w:val="0"/>
        <w:rPr>
          <w:rFonts w:hint="eastAsia" w:ascii="Times New Roman" w:hAnsi="Times New Roman" w:eastAsia="宋体" w:cs="Times New Roman"/>
          <w:b w:val="0"/>
          <w:bCs/>
          <w:color w:val="auto"/>
          <w:kern w:val="0"/>
          <w:sz w:val="24"/>
          <w:szCs w:val="24"/>
          <w:highlight w:val="none"/>
          <w:lang w:val="en-US" w:eastAsia="zh-CN"/>
        </w:rPr>
      </w:pPr>
      <w:r>
        <w:rPr>
          <w:rFonts w:hint="eastAsia" w:ascii="Times New Roman" w:hAnsi="Times New Roman" w:eastAsia="宋体" w:cs="Times New Roman"/>
          <w:b w:val="0"/>
          <w:bCs/>
          <w:color w:val="auto"/>
          <w:kern w:val="0"/>
          <w:sz w:val="24"/>
          <w:szCs w:val="24"/>
          <w:highlight w:val="none"/>
          <w:lang w:val="en-US" w:eastAsia="zh-CN"/>
        </w:rPr>
        <w:t>②综合楼共3F，1F设置油料库、检验室，2-3F设置宿舍。</w:t>
      </w:r>
    </w:p>
    <w:p w14:paraId="3A8705C9">
      <w:pPr>
        <w:spacing w:line="360" w:lineRule="auto"/>
        <w:ind w:firstLine="482" w:firstLineChars="200"/>
        <w:jc w:val="both"/>
        <w:outlineLvl w:val="0"/>
        <w:rPr>
          <w:rFonts w:hint="eastAsia" w:ascii="Times New Roman" w:hAnsi="Times New Roman" w:eastAsia="宋体" w:cs="Times New Roman"/>
          <w:b/>
          <w:bCs w:val="0"/>
          <w:color w:val="auto"/>
          <w:kern w:val="0"/>
          <w:sz w:val="24"/>
          <w:szCs w:val="24"/>
          <w:highlight w:val="none"/>
          <w:lang w:val="en-US" w:eastAsia="zh-CN"/>
        </w:rPr>
      </w:pPr>
      <w:r>
        <w:rPr>
          <w:rFonts w:hint="eastAsia" w:ascii="Times New Roman" w:hAnsi="Times New Roman" w:eastAsia="宋体" w:cs="Times New Roman"/>
          <w:b/>
          <w:bCs w:val="0"/>
          <w:color w:val="auto"/>
          <w:kern w:val="0"/>
          <w:sz w:val="24"/>
          <w:szCs w:val="24"/>
          <w:highlight w:val="none"/>
          <w:lang w:val="en-US" w:eastAsia="zh-CN"/>
        </w:rPr>
        <w:t>实际：</w:t>
      </w:r>
    </w:p>
    <w:p w14:paraId="3B37CEF8">
      <w:pPr>
        <w:spacing w:line="360" w:lineRule="auto"/>
        <w:ind w:firstLine="480" w:firstLineChars="200"/>
        <w:jc w:val="both"/>
        <w:outlineLvl w:val="0"/>
        <w:rPr>
          <w:rFonts w:hint="eastAsia" w:ascii="Times New Roman" w:hAnsi="Times New Roman" w:eastAsia="宋体" w:cs="Times New Roman"/>
          <w:b w:val="0"/>
          <w:bCs/>
          <w:color w:val="auto"/>
          <w:kern w:val="0"/>
          <w:sz w:val="24"/>
          <w:szCs w:val="24"/>
          <w:highlight w:val="none"/>
          <w:lang w:val="en-US" w:eastAsia="zh-CN"/>
        </w:rPr>
      </w:pPr>
      <w:r>
        <w:rPr>
          <w:rFonts w:hint="eastAsia" w:ascii="Times New Roman" w:hAnsi="Times New Roman" w:eastAsia="宋体" w:cs="Times New Roman"/>
          <w:b w:val="0"/>
          <w:bCs/>
          <w:color w:val="auto"/>
          <w:kern w:val="0"/>
          <w:sz w:val="24"/>
          <w:szCs w:val="24"/>
          <w:highlight w:val="none"/>
          <w:lang w:val="en-US" w:eastAsia="zh-CN"/>
        </w:rPr>
        <w:t>①生产车间共1F，建筑面积15000m</w:t>
      </w:r>
      <w:r>
        <w:rPr>
          <w:rFonts w:hint="eastAsia" w:ascii="Times New Roman" w:hAnsi="Times New Roman" w:eastAsia="宋体" w:cs="Times New Roman"/>
          <w:b w:val="0"/>
          <w:bCs/>
          <w:color w:val="auto"/>
          <w:kern w:val="0"/>
          <w:sz w:val="24"/>
          <w:szCs w:val="24"/>
          <w:highlight w:val="none"/>
          <w:vertAlign w:val="superscript"/>
          <w:lang w:val="en-US" w:eastAsia="zh-CN"/>
        </w:rPr>
        <w:t>2</w:t>
      </w:r>
      <w:r>
        <w:rPr>
          <w:rFonts w:hint="eastAsia" w:ascii="Times New Roman" w:hAnsi="Times New Roman" w:eastAsia="宋体" w:cs="Times New Roman"/>
          <w:b w:val="0"/>
          <w:bCs/>
          <w:color w:val="auto"/>
          <w:kern w:val="0"/>
          <w:sz w:val="24"/>
          <w:szCs w:val="24"/>
          <w:highlight w:val="none"/>
          <w:lang w:val="en-US" w:eastAsia="zh-CN"/>
        </w:rPr>
        <w:t>，车间内设置有钢管生产区、不锈钢管生产区、抛光区、烘干区、缩封区、切管区、去毛刺区、冲孔区、半成品堆放区、成品区、待发货区、一般固废暂存场所、生产办公室、油料库和检验室等。车间外设置水池区。</w:t>
      </w:r>
    </w:p>
    <w:p w14:paraId="6E202627">
      <w:pPr>
        <w:spacing w:line="360" w:lineRule="auto"/>
        <w:ind w:firstLine="480" w:firstLineChars="200"/>
        <w:jc w:val="both"/>
        <w:outlineLvl w:val="0"/>
        <w:rPr>
          <w:rFonts w:hint="eastAsia" w:ascii="Times New Roman" w:hAnsi="Times New Roman" w:eastAsia="宋体" w:cs="Times New Roman"/>
          <w:b w:val="0"/>
          <w:bCs/>
          <w:color w:val="auto"/>
          <w:kern w:val="0"/>
          <w:sz w:val="24"/>
          <w:szCs w:val="24"/>
          <w:highlight w:val="none"/>
          <w:lang w:val="en-US" w:eastAsia="zh-CN"/>
        </w:rPr>
      </w:pPr>
      <w:r>
        <w:rPr>
          <w:rFonts w:hint="eastAsia" w:ascii="Times New Roman" w:hAnsi="Times New Roman" w:eastAsia="宋体" w:cs="Times New Roman"/>
          <w:b w:val="0"/>
          <w:bCs/>
          <w:color w:val="auto"/>
          <w:kern w:val="0"/>
          <w:sz w:val="24"/>
          <w:szCs w:val="24"/>
          <w:highlight w:val="none"/>
          <w:lang w:val="en-US" w:eastAsia="zh-CN"/>
        </w:rPr>
        <w:t>②综合楼共3F，1-3F设置宿舍。</w:t>
      </w:r>
    </w:p>
    <w:p w14:paraId="7972061E">
      <w:pPr>
        <w:spacing w:line="360" w:lineRule="auto"/>
        <w:ind w:firstLine="480" w:firstLineChars="200"/>
        <w:jc w:val="both"/>
        <w:outlineLvl w:val="0"/>
        <w:rPr>
          <w:rFonts w:hint="eastAsia" w:ascii="Times New Roman" w:hAnsi="Times New Roman" w:eastAsia="宋体" w:cs="Times New Roman"/>
          <w:b w:val="0"/>
          <w:bCs/>
          <w:color w:val="auto"/>
          <w:kern w:val="0"/>
          <w:sz w:val="24"/>
          <w:szCs w:val="24"/>
          <w:highlight w:val="none"/>
          <w:lang w:val="en-US" w:eastAsia="zh-CN"/>
        </w:rPr>
      </w:pPr>
      <w:r>
        <w:rPr>
          <w:rFonts w:hint="eastAsia" w:ascii="Times New Roman" w:hAnsi="Times New Roman" w:eastAsia="宋体" w:cs="Times New Roman"/>
          <w:b w:val="0"/>
          <w:bCs/>
          <w:color w:val="auto"/>
          <w:kern w:val="0"/>
          <w:sz w:val="24"/>
          <w:szCs w:val="24"/>
          <w:highlight w:val="none"/>
          <w:lang w:val="en-US" w:eastAsia="zh-CN"/>
        </w:rPr>
        <w:t>上述变化未导致环境防护距离范围变化且新增敏感点的情况。</w:t>
      </w:r>
    </w:p>
    <w:p w14:paraId="7871BFC8">
      <w:pPr>
        <w:numPr>
          <w:ilvl w:val="0"/>
          <w:numId w:val="2"/>
        </w:numPr>
        <w:spacing w:line="360" w:lineRule="auto"/>
        <w:ind w:firstLine="482" w:firstLineChars="200"/>
        <w:jc w:val="both"/>
        <w:outlineLvl w:val="0"/>
        <w:rPr>
          <w:rFonts w:hint="eastAsia" w:ascii="Times New Roman" w:hAnsi="Times New Roman" w:cs="Times New Roman"/>
          <w:b/>
          <w:bCs w:val="0"/>
          <w:color w:val="auto"/>
          <w:kern w:val="0"/>
          <w:sz w:val="24"/>
          <w:szCs w:val="24"/>
          <w:highlight w:val="none"/>
          <w:lang w:val="en-US" w:eastAsia="zh-CN"/>
        </w:rPr>
      </w:pPr>
      <w:r>
        <w:rPr>
          <w:rFonts w:hint="eastAsia" w:ascii="Times New Roman" w:hAnsi="Times New Roman" w:cs="Times New Roman"/>
          <w:b/>
          <w:bCs w:val="0"/>
          <w:color w:val="auto"/>
          <w:kern w:val="0"/>
          <w:sz w:val="24"/>
          <w:szCs w:val="24"/>
          <w:highlight w:val="none"/>
          <w:lang w:val="en-US" w:eastAsia="zh-CN"/>
        </w:rPr>
        <w:t>生产工艺：</w:t>
      </w:r>
    </w:p>
    <w:p w14:paraId="3C117451">
      <w:pPr>
        <w:spacing w:line="360" w:lineRule="auto"/>
        <w:ind w:firstLine="480" w:firstLineChars="200"/>
        <w:jc w:val="both"/>
        <w:outlineLvl w:val="0"/>
        <w:rPr>
          <w:rFonts w:hint="eastAsia" w:ascii="Times New Roman" w:hAnsi="Times New Roman" w:cs="Times New Roman"/>
          <w:b w:val="0"/>
          <w:bCs/>
          <w:color w:val="auto"/>
          <w:kern w:val="0"/>
          <w:sz w:val="24"/>
          <w:szCs w:val="24"/>
          <w:highlight w:val="none"/>
          <w:lang w:val="en-US" w:eastAsia="zh-CN"/>
        </w:rPr>
      </w:pPr>
      <w:r>
        <w:rPr>
          <w:rFonts w:hint="eastAsia" w:ascii="Times New Roman" w:hAnsi="Times New Roman" w:cs="Times New Roman"/>
          <w:b w:val="0"/>
          <w:bCs/>
          <w:color w:val="auto"/>
          <w:kern w:val="0"/>
          <w:sz w:val="24"/>
          <w:szCs w:val="24"/>
          <w:highlight w:val="none"/>
          <w:lang w:val="en-US" w:eastAsia="zh-CN"/>
        </w:rPr>
        <w:t>①本项目产品品种与环评审批一致。</w:t>
      </w:r>
    </w:p>
    <w:p w14:paraId="39E1D142">
      <w:pPr>
        <w:spacing w:line="360" w:lineRule="auto"/>
        <w:ind w:firstLine="480" w:firstLineChars="200"/>
        <w:jc w:val="both"/>
        <w:outlineLvl w:val="0"/>
        <w:rPr>
          <w:rFonts w:hint="eastAsia" w:ascii="Times New Roman" w:hAnsi="Times New Roman" w:cs="Times New Roman"/>
          <w:b w:val="0"/>
          <w:bCs/>
          <w:color w:val="auto"/>
          <w:kern w:val="0"/>
          <w:sz w:val="24"/>
          <w:szCs w:val="24"/>
          <w:highlight w:val="none"/>
          <w:lang w:val="en-US" w:eastAsia="zh-CN"/>
        </w:rPr>
      </w:pPr>
      <w:r>
        <w:rPr>
          <w:rFonts w:hint="eastAsia" w:ascii="Times New Roman" w:hAnsi="Times New Roman" w:cs="Times New Roman"/>
          <w:b w:val="0"/>
          <w:bCs/>
          <w:color w:val="auto"/>
          <w:kern w:val="0"/>
          <w:sz w:val="24"/>
          <w:szCs w:val="24"/>
          <w:highlight w:val="none"/>
          <w:lang w:val="en-US" w:eastAsia="zh-CN"/>
        </w:rPr>
        <w:t>②本项目实际生产工艺与环评审批一致。</w:t>
      </w:r>
    </w:p>
    <w:p w14:paraId="6CA82910">
      <w:pPr>
        <w:spacing w:line="360" w:lineRule="auto"/>
        <w:ind w:firstLine="480" w:firstLineChars="200"/>
        <w:jc w:val="both"/>
        <w:outlineLvl w:val="0"/>
        <w:rPr>
          <w:rFonts w:hint="eastAsia" w:ascii="Times New Roman" w:hAnsi="Times New Roman" w:cs="Times New Roman"/>
          <w:b w:val="0"/>
          <w:bCs/>
          <w:color w:val="auto"/>
          <w:kern w:val="0"/>
          <w:sz w:val="24"/>
          <w:szCs w:val="24"/>
          <w:highlight w:val="none"/>
          <w:lang w:val="en-US" w:eastAsia="zh-CN"/>
        </w:rPr>
      </w:pPr>
      <w:r>
        <w:rPr>
          <w:rFonts w:hint="eastAsia" w:ascii="Times New Roman" w:hAnsi="Times New Roman" w:cs="Times New Roman"/>
          <w:b w:val="0"/>
          <w:bCs/>
          <w:color w:val="auto"/>
          <w:kern w:val="0"/>
          <w:sz w:val="24"/>
          <w:szCs w:val="24"/>
          <w:highlight w:val="none"/>
          <w:lang w:val="en-US" w:eastAsia="zh-CN"/>
        </w:rPr>
        <w:t>③企业实际新增5t桥式行车2台、10t桥式行车1台、储气罐（1立方）1个、储气罐（0.3立方）1个，上述设备均属于生产辅助配套设施，不直接参与产品生产工序，仅用于车间物料转运、压缩空气供气保障，不改变生产工艺及产能，不会增加主体污染物产生量。其余与环评审批一致。</w:t>
      </w:r>
    </w:p>
    <w:p w14:paraId="53A0A954">
      <w:pPr>
        <w:spacing w:line="360" w:lineRule="auto"/>
        <w:ind w:firstLine="480" w:firstLineChars="200"/>
        <w:jc w:val="both"/>
        <w:outlineLvl w:val="0"/>
        <w:rPr>
          <w:rFonts w:hint="eastAsia" w:ascii="Times New Roman" w:hAnsi="Times New Roman" w:cs="Times New Roman"/>
          <w:b w:val="0"/>
          <w:bCs/>
          <w:color w:val="auto"/>
          <w:kern w:val="0"/>
          <w:sz w:val="24"/>
          <w:szCs w:val="24"/>
          <w:highlight w:val="none"/>
          <w:lang w:val="en-US" w:eastAsia="zh-CN"/>
        </w:rPr>
      </w:pPr>
      <w:r>
        <w:rPr>
          <w:rFonts w:hint="eastAsia" w:ascii="Times New Roman" w:hAnsi="Times New Roman" w:cs="Times New Roman"/>
          <w:b w:val="0"/>
          <w:bCs/>
          <w:color w:val="auto"/>
          <w:kern w:val="0"/>
          <w:sz w:val="24"/>
          <w:szCs w:val="24"/>
          <w:highlight w:val="none"/>
          <w:lang w:val="en-US" w:eastAsia="zh-CN"/>
        </w:rPr>
        <w:t>④本项目实际用水量有所减少，用电量有所增加；项目新增5t桥式行车2台、10t桥式行车1台、储气罐（1立方）1个、储气罐（0.3立方）1个，上述辅助设备的增设是造成用电负荷增加的主要原因。其余原辅材料的消耗在环评审批范围内。</w:t>
      </w:r>
    </w:p>
    <w:p w14:paraId="74ABB06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0"/>
        <w:rPr>
          <w:rFonts w:hint="eastAsia" w:ascii="Times New Roman" w:hAnsi="Times New Roman" w:cs="Times New Roman"/>
          <w:b w:val="0"/>
          <w:bCs/>
          <w:color w:val="auto"/>
          <w:kern w:val="0"/>
          <w:sz w:val="24"/>
          <w:szCs w:val="24"/>
          <w:highlight w:val="none"/>
          <w:lang w:val="en-US" w:eastAsia="zh-CN"/>
        </w:rPr>
      </w:pPr>
      <w:r>
        <w:rPr>
          <w:rFonts w:hint="eastAsia" w:ascii="Times New Roman" w:hAnsi="Times New Roman" w:cs="Times New Roman"/>
          <w:b w:val="0"/>
          <w:bCs/>
          <w:color w:val="auto"/>
          <w:kern w:val="0"/>
          <w:sz w:val="24"/>
          <w:szCs w:val="24"/>
          <w:highlight w:val="none"/>
          <w:lang w:val="en-US" w:eastAsia="zh-CN"/>
        </w:rPr>
        <w:t>以上并未导致第6条中所列情形。</w:t>
      </w:r>
    </w:p>
    <w:bookmarkEnd w:id="2"/>
    <w:bookmarkEnd w:id="3"/>
    <w:bookmarkEnd w:id="4"/>
    <w:p w14:paraId="213B92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olor w:val="auto"/>
          <w:kern w:val="0"/>
          <w:sz w:val="24"/>
          <w:szCs w:val="24"/>
          <w:highlight w:val="none"/>
          <w:lang w:val="en-US" w:eastAsia="zh-CN"/>
        </w:rPr>
      </w:pPr>
      <w:r>
        <w:rPr>
          <w:rFonts w:hint="default" w:ascii="Times New Roman" w:hAnsi="Times New Roman"/>
          <w:color w:val="auto"/>
          <w:kern w:val="0"/>
          <w:sz w:val="24"/>
          <w:szCs w:val="24"/>
          <w:highlight w:val="none"/>
          <w:lang w:val="en-US" w:eastAsia="zh-CN"/>
        </w:rPr>
        <w:t>项目性质、规模</w:t>
      </w:r>
      <w:r>
        <w:rPr>
          <w:rFonts w:hint="eastAsia" w:ascii="Times New Roman" w:hAnsi="Times New Roman"/>
          <w:color w:val="auto"/>
          <w:kern w:val="0"/>
          <w:sz w:val="24"/>
          <w:szCs w:val="24"/>
          <w:highlight w:val="none"/>
          <w:lang w:val="en-US" w:eastAsia="zh-CN"/>
        </w:rPr>
        <w:t>、环境保护措施</w:t>
      </w:r>
      <w:r>
        <w:rPr>
          <w:rFonts w:hint="default" w:ascii="Times New Roman" w:hAnsi="Times New Roman"/>
          <w:color w:val="auto"/>
          <w:kern w:val="0"/>
          <w:sz w:val="24"/>
          <w:szCs w:val="24"/>
          <w:highlight w:val="none"/>
          <w:lang w:val="en-US" w:eastAsia="zh-CN"/>
        </w:rPr>
        <w:t>与环境影响</w:t>
      </w:r>
      <w:r>
        <w:rPr>
          <w:rFonts w:hint="eastAsia" w:ascii="Times New Roman" w:hAnsi="Times New Roman"/>
          <w:color w:val="auto"/>
          <w:kern w:val="0"/>
          <w:sz w:val="24"/>
          <w:szCs w:val="24"/>
          <w:highlight w:val="none"/>
          <w:lang w:val="en-US" w:eastAsia="zh-CN"/>
        </w:rPr>
        <w:t>登记</w:t>
      </w:r>
      <w:r>
        <w:rPr>
          <w:rFonts w:hint="default" w:ascii="Times New Roman" w:hAnsi="Times New Roman"/>
          <w:color w:val="auto"/>
          <w:kern w:val="0"/>
          <w:sz w:val="24"/>
          <w:szCs w:val="24"/>
          <w:highlight w:val="none"/>
          <w:lang w:val="en-US" w:eastAsia="zh-CN"/>
        </w:rPr>
        <w:t>表及备案承诺书保持一致，基本无变动。</w:t>
      </w:r>
    </w:p>
    <w:p w14:paraId="016558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olor w:val="auto"/>
          <w:kern w:val="0"/>
          <w:sz w:val="24"/>
          <w:szCs w:val="24"/>
          <w:highlight w:val="none"/>
          <w:lang w:val="en-US" w:eastAsia="zh-CN"/>
        </w:rPr>
      </w:pPr>
      <w:r>
        <w:rPr>
          <w:rFonts w:hint="default" w:ascii="Times New Roman" w:hAnsi="Times New Roman"/>
          <w:color w:val="auto"/>
          <w:kern w:val="0"/>
          <w:sz w:val="24"/>
          <w:szCs w:val="24"/>
          <w:highlight w:val="none"/>
          <w:lang w:val="en-US" w:eastAsia="zh-CN"/>
        </w:rPr>
        <w:t>对照生态环境部 环办环评函〔2020〕688号关于印发《污染影响类建设项目重大变动清单（试行）》的通知相关内容，企业不属于重大变动。</w:t>
      </w:r>
    </w:p>
    <w:p w14:paraId="0EEAAB12">
      <w:pPr>
        <w:spacing w:line="360" w:lineRule="auto"/>
        <w:ind w:firstLine="602" w:firstLineChars="250"/>
        <w:rPr>
          <w:rFonts w:hint="default" w:ascii="Times New Roman" w:hAnsi="Times New Roman" w:eastAsia="宋体" w:cs="Times New Roman"/>
          <w:b/>
          <w:color w:val="auto"/>
          <w:kern w:val="0"/>
          <w:sz w:val="24"/>
          <w:highlight w:val="none"/>
        </w:rPr>
      </w:pPr>
      <w:r>
        <w:rPr>
          <w:rFonts w:hint="default" w:ascii="Times New Roman" w:hAnsi="Times New Roman" w:eastAsia="宋体" w:cs="Times New Roman"/>
          <w:b/>
          <w:color w:val="auto"/>
          <w:kern w:val="0"/>
          <w:sz w:val="24"/>
          <w:highlight w:val="none"/>
        </w:rPr>
        <w:t>三、环境保护设施建设情况</w:t>
      </w:r>
    </w:p>
    <w:p w14:paraId="59E05236">
      <w:pPr>
        <w:pStyle w:val="6"/>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0"/>
          <w:sz w:val="24"/>
          <w:highlight w:val="none"/>
        </w:rPr>
        <w:t>（一）</w:t>
      </w:r>
      <w:r>
        <w:rPr>
          <w:rStyle w:val="16"/>
          <w:rFonts w:hint="default" w:ascii="Times New Roman" w:hAnsi="Times New Roman" w:eastAsia="宋体" w:cs="Times New Roman"/>
          <w:b w:val="0"/>
          <w:color w:val="auto"/>
          <w:sz w:val="24"/>
          <w:szCs w:val="24"/>
          <w:highlight w:val="none"/>
          <w:vertAlign w:val="baseline"/>
          <w:lang w:val="en-US" w:eastAsia="zh-CN"/>
        </w:rPr>
        <w:t>废水：</w:t>
      </w:r>
      <w:r>
        <w:rPr>
          <w:rFonts w:hint="default" w:ascii="Times New Roman" w:hAnsi="Times New Roman" w:eastAsia="宋体" w:cs="Times New Roman"/>
          <w:color w:val="auto"/>
          <w:sz w:val="24"/>
          <w:szCs w:val="24"/>
          <w:highlight w:val="none"/>
          <w:lang w:val="en-US" w:eastAsia="zh-CN"/>
        </w:rPr>
        <w:t>本项目营运过程产生的废水主要是生活污水、间接冷却水、水磨、抛光水和水幕除尘装置用水。</w:t>
      </w:r>
    </w:p>
    <w:p w14:paraId="0D196D8A">
      <w:pPr>
        <w:spacing w:line="360" w:lineRule="auto"/>
        <w:ind w:firstLine="480" w:firstLineChars="200"/>
        <w:outlineLvl w:val="0"/>
        <w:rPr>
          <w:rFonts w:hint="eastAsia" w:ascii="Times New Roman" w:hAnsi="Times New Roman"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①生活污水：经隔油池、化粪池预处理后纳管至区域城镇污水处理厂集中处理，达标排放。</w:t>
      </w:r>
    </w:p>
    <w:p w14:paraId="31895F23">
      <w:pPr>
        <w:spacing w:line="360" w:lineRule="auto"/>
        <w:ind w:firstLine="480" w:firstLineChars="200"/>
        <w:outlineLvl w:val="0"/>
        <w:rPr>
          <w:rFonts w:hint="eastAsia" w:ascii="Times New Roman" w:hAnsi="Times New Roman"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②间接冷却水：循环使用，定期补充损耗。</w:t>
      </w:r>
    </w:p>
    <w:p w14:paraId="78EA3A64">
      <w:pPr>
        <w:spacing w:line="360" w:lineRule="auto"/>
        <w:ind w:firstLine="480" w:firstLineChars="200"/>
        <w:outlineLvl w:val="0"/>
        <w:rPr>
          <w:rFonts w:hint="eastAsia" w:ascii="Times New Roman" w:hAnsi="Times New Roman"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③水磨、抛光水：循环使用，定期补充损耗和捞渣。</w:t>
      </w:r>
    </w:p>
    <w:p w14:paraId="59688D81">
      <w:pPr>
        <w:spacing w:line="360" w:lineRule="auto"/>
        <w:ind w:firstLine="480" w:firstLineChars="200"/>
        <w:outlineLvl w:val="0"/>
        <w:rPr>
          <w:rFonts w:hint="eastAsia" w:ascii="Times New Roman" w:hAnsi="Times New Roman"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④水幕除尘装置用水：循环使用，定期补充损耗和捞渣。</w:t>
      </w:r>
    </w:p>
    <w:p w14:paraId="4E1C609F">
      <w:pPr>
        <w:spacing w:line="360" w:lineRule="auto"/>
        <w:ind w:firstLine="480" w:firstLineChars="200"/>
        <w:outlineLvl w:val="0"/>
        <w:rPr>
          <w:rFonts w:hint="eastAsia" w:ascii="Times New Roman" w:hAnsi="Times New Roman"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（二）废气：本项目营运过程产生的废气主要是直缝高频焊接烟尘、刮刀粉尘、乳化液受热废气、切割粉尘、直缝氩弧焊接烟尘、抛光粉尘、热缩包装废气、食堂油烟废气。</w:t>
      </w:r>
    </w:p>
    <w:p w14:paraId="228EBAF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（1）直缝高频焊接烟尘、刮刀粉尘、乳化液受热废气</w:t>
      </w:r>
    </w:p>
    <w:p w14:paraId="276A01F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①1#-6#生产线：本项目在钢管1#-6#生产线产污点设置半密闭罩对直缝高频焊接端的焊接烟尘、乳化液受热废气进行收集；刮刀端设置半密闭罩对刮刀粉尘进行收集，废气合并进入一套油雾净化器+布袋除尘装置处理，尾气于1根15m高的排气筒排放（DA001）。</w:t>
      </w:r>
    </w:p>
    <w:p w14:paraId="14C1B7E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②7#生产线：本项目在钢管7#生产线产污点设置半密闭罩对直缝高频焊接端的焊接烟尘、乳化液受热废气进行收集；刮刀端设置半密闭罩对刮刀粉尘进行收集，废气合并进入一套油雾净化器+布袋除尘装置处理，尾气于1根15m高的排气筒排放（DA002）。</w:t>
      </w:r>
    </w:p>
    <w:p w14:paraId="199E0F5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（2）切割粉尘：本项目在钢管生产线切割粉尘产生区域设置移动式布袋除尘器对切割粉尘进行收集、处理后无组织排放。</w:t>
      </w:r>
    </w:p>
    <w:p w14:paraId="6721505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（3）直缝氩弧焊接烟尘：本项目在产污点设置移动式工业烟雾净化器对直缝氩弧焊接烟尘进行收集处理，尾气于车间内无组织排放。</w:t>
      </w:r>
    </w:p>
    <w:p w14:paraId="162D8A8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（4）抛光粉尘：本项目抛光粉尘经设备自带水幕除尘装置处理后进入一套布袋除尘装置处理，尾气通过一根15m高的排气筒排放（DA003）。</w:t>
      </w:r>
    </w:p>
    <w:p w14:paraId="3FD88D7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（5）热缩包装废气：产生量和产生速率均较小，故电热缩封过程产生的废气对环境影响较小，以无组织形式排放。</w:t>
      </w:r>
    </w:p>
    <w:p w14:paraId="64EF782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（6）食堂油烟废气：为消除油烟对周围环境的影响，食堂油烟废气经油烟净化器处理后于食堂屋顶高空排放（DA004）。</w:t>
      </w:r>
    </w:p>
    <w:p w14:paraId="3B2ED96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Style w:val="16"/>
          <w:rFonts w:hint="default" w:ascii="Times New Roman" w:hAnsi="Times New Roman" w:eastAsia="宋体" w:cs="Times New Roman"/>
          <w:b w:val="0"/>
          <w:color w:val="auto"/>
          <w:sz w:val="24"/>
          <w:szCs w:val="24"/>
          <w:highlight w:val="none"/>
          <w:vertAlign w:val="baseline"/>
          <w:lang w:val="en-US" w:eastAsia="zh-CN"/>
        </w:rPr>
      </w:pPr>
      <w:r>
        <w:rPr>
          <w:rFonts w:hint="eastAsia" w:ascii="Times New Roman" w:hAnsi="Times New Roman" w:eastAsia="宋体" w:cs="Times New Roman"/>
          <w:b w:val="0"/>
          <w:color w:val="auto"/>
          <w:kern w:val="2"/>
          <w:sz w:val="24"/>
          <w:szCs w:val="24"/>
          <w:highlight w:val="none"/>
          <w:vertAlign w:val="baseline"/>
          <w:lang w:val="en-US" w:eastAsia="zh-CN" w:bidi="ar-SA"/>
        </w:rPr>
        <w:t>（</w:t>
      </w:r>
      <w:r>
        <w:rPr>
          <w:rFonts w:hint="eastAsia" w:ascii="Times New Roman" w:hAnsi="Times New Roman" w:cs="Times New Roman"/>
          <w:b w:val="0"/>
          <w:color w:val="auto"/>
          <w:kern w:val="2"/>
          <w:sz w:val="24"/>
          <w:szCs w:val="24"/>
          <w:highlight w:val="none"/>
          <w:vertAlign w:val="baseline"/>
          <w:lang w:val="en-US" w:eastAsia="zh-CN" w:bidi="ar-SA"/>
        </w:rPr>
        <w:t>三</w:t>
      </w:r>
      <w:r>
        <w:rPr>
          <w:rFonts w:hint="eastAsia" w:ascii="Times New Roman" w:hAnsi="Times New Roman" w:eastAsia="宋体" w:cs="Times New Roman"/>
          <w:b w:val="0"/>
          <w:color w:val="auto"/>
          <w:kern w:val="2"/>
          <w:sz w:val="24"/>
          <w:szCs w:val="24"/>
          <w:highlight w:val="none"/>
          <w:vertAlign w:val="baseline"/>
          <w:lang w:val="en-US" w:eastAsia="zh-CN" w:bidi="ar-SA"/>
        </w:rPr>
        <w:t>）</w:t>
      </w:r>
      <w:r>
        <w:rPr>
          <w:rFonts w:hint="default" w:ascii="Times New Roman" w:hAnsi="Times New Roman" w:eastAsia="宋体" w:cs="Times New Roman"/>
          <w:color w:val="auto"/>
          <w:kern w:val="0"/>
          <w:sz w:val="24"/>
          <w:highlight w:val="none"/>
        </w:rPr>
        <w:t>噪声：</w:t>
      </w:r>
      <w:r>
        <w:rPr>
          <w:rFonts w:hint="eastAsia" w:ascii="Times New Roman" w:hAnsi="Times New Roman" w:cs="Times New Roman"/>
          <w:color w:val="auto"/>
          <w:kern w:val="0"/>
          <w:sz w:val="24"/>
          <w:highlight w:val="none"/>
          <w:lang w:val="en-US" w:eastAsia="zh-CN"/>
        </w:rPr>
        <w:t>本</w:t>
      </w:r>
      <w:r>
        <w:rPr>
          <w:rFonts w:hint="eastAsia"/>
          <w:color w:val="auto"/>
          <w:sz w:val="24"/>
          <w:highlight w:val="none"/>
        </w:rPr>
        <w:t>项目主要噪声为各种生产设备运行产生的噪声</w:t>
      </w:r>
      <w:r>
        <w:rPr>
          <w:rFonts w:hint="eastAsia"/>
          <w:color w:val="auto"/>
          <w:sz w:val="24"/>
          <w:highlight w:val="none"/>
          <w:lang w:eastAsia="zh-CN"/>
        </w:rPr>
        <w:t>。</w:t>
      </w:r>
    </w:p>
    <w:p w14:paraId="0AFD956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olor w:val="auto"/>
          <w:sz w:val="24"/>
          <w:szCs w:val="32"/>
          <w:highlight w:val="none"/>
          <w:lang w:val="en-US" w:eastAsia="zh-CN"/>
        </w:rPr>
        <w:t>本项目实行一班制生产，厂区噪声源主要为生产设备及辅助设施运行噪声，通过选用噪声低、振动小的设备；对风机等高噪声设备加设减振垫；合理布置设备位置；车间安装隔声门窗，生产时关闭门窗；加强生产现场管理和设备养护，减少或降低人为噪声。采取上述措施后，厂界噪声可满足标准要求，对周边声环境影响较小。</w:t>
      </w:r>
    </w:p>
    <w:p w14:paraId="5DFE816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bidi="ar-SA"/>
        </w:rPr>
        <w:t>（</w:t>
      </w:r>
      <w:r>
        <w:rPr>
          <w:rFonts w:hint="eastAsia" w:ascii="Times New Roman" w:hAnsi="Times New Roman" w:cs="Times New Roman"/>
          <w:color w:val="auto"/>
          <w:kern w:val="0"/>
          <w:sz w:val="24"/>
          <w:szCs w:val="24"/>
          <w:highlight w:val="none"/>
          <w:lang w:val="en-US" w:eastAsia="zh-CN" w:bidi="ar-SA"/>
        </w:rPr>
        <w:t>四</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rPr>
        <w:t>固废：本项目营运过程产生的固体废物包括生活垃圾、一般固废和危险废物。</w:t>
      </w:r>
    </w:p>
    <w:p w14:paraId="0273F0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本项目一般固废暂存场所设置于生产车间南侧，存放收集的金属粉尘</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废边角料</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沉渣</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不合格品</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废PVC热收缩套管膜</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废布袋，面积约为</w:t>
      </w:r>
      <w:r>
        <w:rPr>
          <w:rFonts w:hint="eastAsia" w:ascii="Times New Roman" w:hAnsi="Times New Roman" w:cs="Times New Roman"/>
          <w:color w:val="auto"/>
          <w:kern w:val="0"/>
          <w:sz w:val="24"/>
          <w:szCs w:val="24"/>
          <w:highlight w:val="none"/>
          <w:lang w:val="en-US" w:eastAsia="zh-CN"/>
        </w:rPr>
        <w:t>20</w:t>
      </w:r>
      <w:r>
        <w:rPr>
          <w:rFonts w:hint="default" w:ascii="Times New Roman" w:hAnsi="Times New Roman" w:eastAsia="宋体" w:cs="Times New Roman"/>
          <w:color w:val="auto"/>
          <w:kern w:val="0"/>
          <w:sz w:val="24"/>
          <w:szCs w:val="24"/>
          <w:highlight w:val="no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2</w:t>
      </w:r>
      <w:r>
        <w:rPr>
          <w:rFonts w:hint="default" w:ascii="Times New Roman" w:hAnsi="Times New Roman" w:eastAsia="宋体" w:cs="Times New Roman"/>
          <w:color w:val="auto"/>
          <w:kern w:val="0"/>
          <w:sz w:val="24"/>
          <w:szCs w:val="24"/>
          <w:highlight w:val="none"/>
          <w:lang w:val="en-US" w:eastAsia="zh-CN"/>
        </w:rPr>
        <w:t>，暂存点为水泥地面，能做到防扬散、防流失、防止雨水的冲刷及防渗漏等相关要求，各类一般废物定置分类存放；</w:t>
      </w:r>
      <w:r>
        <w:rPr>
          <w:rFonts w:hint="default" w:ascii="Times New Roman" w:hAnsi="Times New Roman" w:eastAsia="宋体" w:cs="Times New Roman"/>
          <w:color w:val="auto"/>
          <w:kern w:val="0"/>
          <w:sz w:val="24"/>
          <w:szCs w:val="24"/>
          <w:highlight w:val="none"/>
          <w:lang w:val="en-US" w:eastAsia="zh-CN"/>
        </w:rPr>
        <w:t>压块废料区设置于生产车间内东侧单独划分区域内</w:t>
      </w:r>
      <w:r>
        <w:rPr>
          <w:rFonts w:hint="eastAsia" w:ascii="Times New Roman" w:hAnsi="Times New Roman" w:cs="Times New Roman"/>
          <w:color w:val="auto"/>
          <w:kern w:val="0"/>
          <w:sz w:val="24"/>
          <w:szCs w:val="24"/>
          <w:highlight w:val="none"/>
          <w:lang w:val="en-US" w:eastAsia="zh-CN"/>
        </w:rPr>
        <w:t>，面积约13m</w:t>
      </w:r>
      <w:r>
        <w:rPr>
          <w:rFonts w:hint="eastAsia" w:ascii="Times New Roman" w:hAnsi="Times New Roman" w:cs="Times New Roman"/>
          <w:color w:val="auto"/>
          <w:kern w:val="0"/>
          <w:sz w:val="24"/>
          <w:szCs w:val="24"/>
          <w:highlight w:val="none"/>
          <w:vertAlign w:val="superscript"/>
          <w:lang w:val="en-US" w:eastAsia="zh-CN"/>
        </w:rPr>
        <w:t>2</w:t>
      </w:r>
      <w:r>
        <w:rPr>
          <w:rFonts w:hint="eastAsia" w:ascii="Times New Roman" w:hAnsi="Times New Roman" w:cs="Times New Roman"/>
          <w:color w:val="auto"/>
          <w:kern w:val="0"/>
          <w:sz w:val="24"/>
          <w:szCs w:val="24"/>
          <w:highlight w:val="none"/>
          <w:vertAlign w:val="baseline"/>
          <w:lang w:val="en-US" w:eastAsia="zh-CN"/>
        </w:rPr>
        <w:t>，收集的含乳化液粉尘及金属屑在此处进行压滤。压滤设备配套设置接油装置，压滤过程无油品外溢</w:t>
      </w:r>
      <w:r>
        <w:rPr>
          <w:rFonts w:hint="eastAsia" w:ascii="Times New Roman" w:hAnsi="Times New Roman" w:cs="Times New Roman"/>
          <w:color w:val="auto"/>
          <w:kern w:val="0"/>
          <w:sz w:val="24"/>
          <w:szCs w:val="24"/>
          <w:highlight w:val="none"/>
          <w:lang w:val="en-US" w:eastAsia="zh-CN"/>
        </w:rPr>
        <w:t>；</w:t>
      </w:r>
      <w:r>
        <w:rPr>
          <w:rFonts w:hint="eastAsia" w:ascii="Times New Roman" w:hAnsi="Times New Roman" w:cs="Times New Roman"/>
          <w:color w:val="auto"/>
          <w:kern w:val="0"/>
          <w:sz w:val="24"/>
          <w:szCs w:val="24"/>
          <w:highlight w:val="none"/>
          <w:lang w:val="en-US" w:eastAsia="zh-CN"/>
        </w:rPr>
        <w:t>危废仓库设置于生产车间外东北侧单独房间内，存放废机油、废机油桶、废润滑油、废润滑油桶、废乳化液、废乳化液桶、废油，面积约5m</w:t>
      </w:r>
      <w:r>
        <w:rPr>
          <w:rFonts w:hint="eastAsia" w:ascii="Times New Roman" w:hAnsi="Times New Roman" w:cs="Times New Roman"/>
          <w:color w:val="auto"/>
          <w:kern w:val="0"/>
          <w:sz w:val="24"/>
          <w:szCs w:val="24"/>
          <w:highlight w:val="none"/>
          <w:vertAlign w:val="superscript"/>
          <w:lang w:val="en-US" w:eastAsia="zh-CN"/>
        </w:rPr>
        <w:t>2</w:t>
      </w:r>
      <w:r>
        <w:rPr>
          <w:rFonts w:hint="eastAsia" w:ascii="Times New Roman" w:hAnsi="Times New Roman" w:cs="Times New Roman"/>
          <w:color w:val="auto"/>
          <w:kern w:val="0"/>
          <w:sz w:val="24"/>
          <w:szCs w:val="24"/>
          <w:highlight w:val="none"/>
          <w:lang w:val="en-US" w:eastAsia="zh-CN"/>
        </w:rPr>
        <w:t>，定期交由安吉纳海环境有限公司进行处理处置。危废仓库具备防腐防渗、防雨淋等措施，可以有效防止二次污染，规范建立了危废台账。</w:t>
      </w:r>
    </w:p>
    <w:p w14:paraId="1E62EC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生活垃圾</w:t>
      </w:r>
      <w:r>
        <w:rPr>
          <w:rFonts w:hint="eastAsia" w:ascii="Times New Roman" w:hAnsi="Times New Roman" w:cs="Times New Roman"/>
          <w:color w:val="auto"/>
          <w:kern w:val="0"/>
          <w:sz w:val="24"/>
          <w:szCs w:val="24"/>
          <w:highlight w:val="none"/>
          <w:lang w:val="en-US" w:eastAsia="zh-CN"/>
        </w:rPr>
        <w:t>、食堂固废</w:t>
      </w:r>
      <w:r>
        <w:rPr>
          <w:rFonts w:hint="default" w:ascii="Times New Roman" w:hAnsi="Times New Roman" w:eastAsia="宋体" w:cs="Times New Roman"/>
          <w:color w:val="auto"/>
          <w:kern w:val="0"/>
          <w:sz w:val="24"/>
          <w:szCs w:val="24"/>
          <w:highlight w:val="none"/>
          <w:lang w:val="en-US" w:eastAsia="zh-CN"/>
        </w:rPr>
        <w:t>集中收集后由当地环卫部门清运；收集的粉尘及金属屑、废边角料、沉渣、不合格品、废PVC热收缩套管膜、废布袋集中收集后暂存于一般固废暂存场所，由湖州然兮新材料科技有限公司收运；收集的含乳化液粉尘及金属屑</w:t>
      </w:r>
      <w:r>
        <w:rPr>
          <w:rFonts w:hint="eastAsia" w:ascii="Times New Roman" w:hAnsi="Times New Roman" w:cs="Times New Roman"/>
          <w:color w:val="auto"/>
          <w:kern w:val="0"/>
          <w:sz w:val="24"/>
          <w:szCs w:val="24"/>
          <w:highlight w:val="none"/>
          <w:lang w:val="en-US" w:eastAsia="zh-CN"/>
        </w:rPr>
        <w:t>在压块废料区经压滤无油后委托湖州然兮新材料科技有限公司收运；</w:t>
      </w:r>
      <w:r>
        <w:rPr>
          <w:rFonts w:hint="default" w:ascii="Times New Roman" w:hAnsi="Times New Roman" w:eastAsia="宋体" w:cs="Times New Roman"/>
          <w:color w:val="auto"/>
          <w:kern w:val="0"/>
          <w:sz w:val="24"/>
          <w:szCs w:val="24"/>
          <w:highlight w:val="none"/>
          <w:lang w:val="en-US" w:eastAsia="zh-CN"/>
        </w:rPr>
        <w:t>废机油、废机油桶、废润滑油、废润滑油桶、废乳化液、废乳化液桶、废油集中收集后</w:t>
      </w:r>
      <w:bookmarkStart w:id="5" w:name="OLE_LINK2"/>
      <w:r>
        <w:rPr>
          <w:rFonts w:hint="default" w:ascii="Times New Roman" w:hAnsi="Times New Roman" w:eastAsia="宋体" w:cs="Times New Roman"/>
          <w:color w:val="auto"/>
          <w:kern w:val="0"/>
          <w:sz w:val="24"/>
          <w:szCs w:val="24"/>
          <w:highlight w:val="none"/>
          <w:lang w:val="en-US" w:eastAsia="zh-CN"/>
        </w:rPr>
        <w:t>暂存于</w:t>
      </w:r>
      <w:bookmarkEnd w:id="5"/>
      <w:r>
        <w:rPr>
          <w:rFonts w:hint="default" w:ascii="Times New Roman" w:hAnsi="Times New Roman" w:eastAsia="宋体" w:cs="Times New Roman"/>
          <w:color w:val="auto"/>
          <w:kern w:val="0"/>
          <w:sz w:val="24"/>
          <w:szCs w:val="24"/>
          <w:highlight w:val="none"/>
          <w:lang w:val="en-US" w:eastAsia="zh-CN"/>
        </w:rPr>
        <w:t>危废仓库内，委托安吉纳海环境有限公司进行处理处置</w:t>
      </w:r>
      <w:r>
        <w:rPr>
          <w:rFonts w:hint="eastAsia" w:ascii="宋体" w:hAnsi="宋体" w:eastAsia="宋体" w:cs="宋体"/>
          <w:color w:val="auto"/>
          <w:spacing w:val="14"/>
          <w:kern w:val="2"/>
          <w:sz w:val="24"/>
          <w:szCs w:val="24"/>
          <w:highlight w:val="none"/>
        </w:rPr>
        <w:t>。</w:t>
      </w:r>
    </w:p>
    <w:p w14:paraId="76A0A01C">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土壤及地下水污染防治措</w:t>
      </w:r>
      <w:r>
        <w:rPr>
          <w:rFonts w:hint="eastAsia" w:ascii="Times New Roman" w:hAnsi="Times New Roman" w:eastAsia="宋体" w:cs="Times New Roman"/>
          <w:color w:val="auto"/>
          <w:kern w:val="0"/>
          <w:sz w:val="24"/>
          <w:highlight w:val="none"/>
          <w:lang w:val="en-US" w:eastAsia="zh-CN"/>
        </w:rPr>
        <w:t>施</w:t>
      </w:r>
    </w:p>
    <w:p w14:paraId="6919F8EF">
      <w:pPr>
        <w:widowControl/>
        <w:numPr>
          <w:ilvl w:val="0"/>
          <w:numId w:val="0"/>
        </w:numPr>
        <w:spacing w:line="360" w:lineRule="auto"/>
        <w:ind w:firstLine="480" w:firstLineChars="200"/>
        <w:jc w:val="left"/>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本项目地下水和土壤污染防治措施已按照“源头控制、分区防护、污染监控、应急响应”相结合的原则，全方位进行控制。厂区内采取分区防渗措施，项目重点污染防治区主要为油料库、压块废料区、危废仓库等</w:t>
      </w:r>
      <w:r>
        <w:rPr>
          <w:rFonts w:hint="eastAsia" w:ascii="Times New Roman" w:hAnsi="Times New Roman" w:cs="Times New Roman"/>
          <w:color w:val="auto"/>
          <w:kern w:val="0"/>
          <w:sz w:val="24"/>
          <w:highlight w:val="none"/>
          <w:lang w:val="en-US" w:eastAsia="zh-CN"/>
        </w:rPr>
        <w:t>。</w:t>
      </w:r>
    </w:p>
    <w:p w14:paraId="0948B5AB">
      <w:pPr>
        <w:widowControl/>
        <w:numPr>
          <w:ilvl w:val="0"/>
          <w:numId w:val="3"/>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环境风险防范措施：</w:t>
      </w:r>
    </w:p>
    <w:p w14:paraId="4413D789">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A、泄漏事故风险防范措施</w:t>
      </w:r>
    </w:p>
    <w:p w14:paraId="03344A02">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1）为了保证各物料仓储和使用安全，本项目各物料的存储条件和设施必须严格按照有关文件中的要求执行，并有严格的管理。</w:t>
      </w:r>
    </w:p>
    <w:p w14:paraId="2ACB4C78">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2）总平面布置严格遵守国家颁布的有关防火和安全等方面规范和规定，在危险源布置方面，充分考虑厂内职工和厂外敏感目标的安全，一旦出现突发性事件时，对人员造成的伤害最小。</w:t>
      </w:r>
    </w:p>
    <w:p w14:paraId="339C18BF">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3）在生产装置、仓储区等附近场所以及需要提醒人员注意的地点均应按标准设置各种安全标志，凡需要迅速发现并引起注意以防止发生事故的场所、部位，均按要求涂安全色。</w:t>
      </w:r>
    </w:p>
    <w:p w14:paraId="3DFB8E89">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4）车间、仓储区布置需通风良好，保证易燃易爆和有毒物质迅速稀释和扩散。</w:t>
      </w:r>
    </w:p>
    <w:p w14:paraId="74447F4A">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B、火灾爆炸事故风险防范措施</w:t>
      </w:r>
    </w:p>
    <w:p w14:paraId="50C455D8">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1）控制与消除火源</w:t>
      </w:r>
    </w:p>
    <w:p w14:paraId="39D19EC7">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工作时严禁吸烟、携带火种等进入易燃易爆区；使用防爆型电器；严禁钢制工具敲打、撞击、抛掷；安装避雷装置；转动设备部位要保持清洁，防止因摩擦引起杂物等燃烧；化学品物料运输要请专门的、有资质的运输单位，运用专用的设备进行运输。</w:t>
      </w:r>
    </w:p>
    <w:p w14:paraId="143DB25B">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2）加强管理、严格纪律，遵守各项规章制度和操作规程，严格执行岗位责任制；坚持巡回检查，发现问题及时处理；加强培训、教育和考核工作。</w:t>
      </w:r>
    </w:p>
    <w:p w14:paraId="1661AD7A">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C、物料贮存风险防范措施</w:t>
      </w:r>
    </w:p>
    <w:p w14:paraId="075A251E">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1）原料存放点阴凉通风，远离热源、火种，防止日光曝晒，严禁受热。库内照明应采用防爆照明灯，存放点周围不得堆放任何可燃材料。</w:t>
      </w:r>
    </w:p>
    <w:p w14:paraId="5FC81285">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2）原材料区有专人管理，要有消防器材，要有醒目的防火标志。在原材料区张贴防火标示，并配有进出台账管理。</w:t>
      </w:r>
    </w:p>
    <w:p w14:paraId="13C659D9">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3）危废仓库从严建设，进一步根据《危险废物污染防治技术政策》和《危险废物贮存污染控制标准》进行完善。同时建立健全固体废弃物管理制度和管理程式，固体废弃物应按照性质分类收集并有专人管理，进行监督登记并设置相应的应急救援器材和物资、每年进行预案演练，完善风险防控系统。</w:t>
      </w:r>
    </w:p>
    <w:p w14:paraId="629314AF">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4）对员工进行日常风险教育和培训，提高安全防范知识的宣传力度。企业定期对员工进行安全培训教育，从控制过程减少了风险事故的产生。</w:t>
      </w:r>
    </w:p>
    <w:p w14:paraId="2F83F76B">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D、环保设施风险防范措施</w:t>
      </w:r>
    </w:p>
    <w:p w14:paraId="6179B089">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根据《关于加强工业企业环保设施安全生产工作的指导意见》（浙应急基础[2022]143 号），新、改、扩建重点环保设施应纳入建设项目管理，充分考虑安全风险，确保风险可控后方可实施。本项目涉及的重点环保设施为布袋除尘装置等。应按照以下相关规定落实安全生产工作：</w:t>
      </w:r>
    </w:p>
    <w:p w14:paraId="261300D8">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1）设计阶段。企业应当委托有相应资质（建设部门核发的综合、行业专项等设计资质）的设计单位对建设项目（含环保设施）进行设计，落实安全生产相关技术要求，自行开展或组织环保和安全生产有关专家参与设计审查，出具审查报告，并案审查意见进行修改完善。</w:t>
      </w:r>
    </w:p>
    <w:p w14:paraId="45A907DF">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2）建设和验收阶段。建设单位应严格按照设计方案和相关施工技术标准、规范施工。建设项目竣工后，建设单位应当按照法律、法规规定的标准和程序，对环保设施进行验收，确保环保设施符合生态环境和安全生产要求，并形成书面报告。</w:t>
      </w:r>
    </w:p>
    <w:p w14:paraId="0C9E78AE">
      <w:pPr>
        <w:widowControl/>
        <w:numPr>
          <w:ilvl w:val="0"/>
          <w:numId w:val="0"/>
        </w:numPr>
        <w:spacing w:line="360" w:lineRule="auto"/>
        <w:ind w:firstLine="480" w:firstLineChars="200"/>
        <w:jc w:val="left"/>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3）严格落实企业主体责任。企业要把环保设施安全落实到生产经营工作全过程各方面，建立环保设施台账和维护管理制度，对环保设施操作、危险作业等相关岗位人员开展安全操作规程、风险管控、应急处置等专项安全培训教育。要依法依规开展环保设施安全风险辨识管控和隐患排查治理，定期进行安全可靠性鉴定，设置必要的安全监测监控系统和连锁保护，严格日常安全检查。要严格执行吊装、动火、登高、有限空间、检维修等危险作业审批制度，落实安全隔离措施，实施现场安全监护，配齐应急处置装备，确保环保设施安全、温度、有效运行。</w:t>
      </w:r>
    </w:p>
    <w:p w14:paraId="0171804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0"/>
        <w:rPr>
          <w:rFonts w:hint="default" w:ascii="Times New Roman" w:hAnsi="Times New Roman" w:eastAsia="宋体" w:cs="Times New Roman"/>
          <w:b/>
          <w:color w:val="auto"/>
          <w:kern w:val="0"/>
          <w:sz w:val="24"/>
          <w:highlight w:val="none"/>
        </w:rPr>
      </w:pPr>
      <w:r>
        <w:rPr>
          <w:rFonts w:hint="default" w:ascii="Times New Roman" w:hAnsi="Times New Roman" w:eastAsia="宋体" w:cs="Times New Roman"/>
          <w:b/>
          <w:color w:val="auto"/>
          <w:kern w:val="0"/>
          <w:sz w:val="24"/>
          <w:highlight w:val="none"/>
        </w:rPr>
        <w:t>四、环境保护设施调试监测结果</w:t>
      </w:r>
    </w:p>
    <w:p w14:paraId="198510B4">
      <w:pPr>
        <w:spacing w:line="360" w:lineRule="auto"/>
        <w:ind w:firstLine="480" w:firstLineChars="200"/>
        <w:outlineLvl w:val="0"/>
        <w:rPr>
          <w:rFonts w:hint="default" w:ascii="Times New Roman" w:hAnsi="Times New Roman" w:eastAsia="宋体" w:cs="Times New Roman"/>
          <w:color w:val="auto"/>
          <w:sz w:val="24"/>
          <w:highlight w:val="none"/>
          <w:lang w:eastAsia="zh-CN"/>
        </w:rPr>
      </w:pPr>
      <w:r>
        <w:rPr>
          <w:rFonts w:hint="eastAsia" w:ascii="Times New Roman" w:hAnsi="Times New Roman" w:cs="Times New Roman"/>
          <w:color w:val="auto"/>
          <w:kern w:val="0"/>
          <w:sz w:val="24"/>
          <w:highlight w:val="none"/>
          <w:lang w:val="en-US" w:eastAsia="zh-CN"/>
        </w:rPr>
        <w:t>中昱（浙江）环境监测股份有限公司</w:t>
      </w:r>
      <w:r>
        <w:rPr>
          <w:rFonts w:hint="default" w:ascii="Times New Roman" w:hAnsi="Times New Roman" w:eastAsia="宋体" w:cs="Times New Roman"/>
          <w:color w:val="auto"/>
          <w:kern w:val="0"/>
          <w:sz w:val="24"/>
          <w:highlight w:val="none"/>
        </w:rPr>
        <w:t>对</w:t>
      </w:r>
      <w:r>
        <w:rPr>
          <w:rFonts w:hint="eastAsia" w:ascii="Times New Roman" w:hAnsi="Times New Roman" w:cs="Times New Roman"/>
          <w:color w:val="auto"/>
          <w:kern w:val="0"/>
          <w:sz w:val="24"/>
          <w:highlight w:val="none"/>
          <w:lang w:val="en-US" w:eastAsia="zh-CN"/>
        </w:rPr>
        <w:t>本</w:t>
      </w:r>
      <w:r>
        <w:rPr>
          <w:rFonts w:hint="default" w:ascii="Times New Roman" w:hAnsi="Times New Roman" w:eastAsia="宋体" w:cs="Times New Roman"/>
          <w:color w:val="auto"/>
          <w:kern w:val="0"/>
          <w:sz w:val="24"/>
          <w:highlight w:val="none"/>
        </w:rPr>
        <w:t>项目进行了环境保护验收监测（报告编号：</w:t>
      </w:r>
      <w:r>
        <w:rPr>
          <w:rFonts w:hint="default" w:ascii="Times New Roman" w:hAnsi="Times New Roman" w:eastAsia="宋体" w:cs="Times New Roman"/>
          <w:snapToGrid/>
          <w:color w:val="auto"/>
          <w:spacing w:val="-3"/>
          <w:kern w:val="2"/>
          <w:sz w:val="24"/>
          <w:szCs w:val="24"/>
          <w:highlight w:val="none"/>
          <w:lang w:val="en-US" w:eastAsia="zh-CN" w:bidi="ar-SA"/>
        </w:rPr>
        <w:t>中昱环境（2026）检07-148号</w:t>
      </w:r>
      <w:r>
        <w:rPr>
          <w:rFonts w:hint="eastAsia" w:ascii="Times New Roman" w:hAnsi="Times New Roman" w:cs="Times New Roman"/>
          <w:snapToGrid/>
          <w:color w:val="auto"/>
          <w:spacing w:val="-3"/>
          <w:kern w:val="2"/>
          <w:sz w:val="24"/>
          <w:szCs w:val="24"/>
          <w:highlight w:val="none"/>
          <w:lang w:val="en-US" w:eastAsia="zh-CN" w:bidi="ar-SA"/>
        </w:rPr>
        <w:t>）</w:t>
      </w:r>
      <w:r>
        <w:rPr>
          <w:rFonts w:hint="default" w:ascii="Times New Roman" w:hAnsi="Times New Roman" w:eastAsia="宋体" w:cs="Times New Roman"/>
          <w:color w:val="auto"/>
          <w:kern w:val="0"/>
          <w:sz w:val="24"/>
          <w:highlight w:val="none"/>
        </w:rPr>
        <w:t>。监测期间，验收</w:t>
      </w:r>
      <w:r>
        <w:rPr>
          <w:rFonts w:hint="eastAsia" w:ascii="Times New Roman" w:hAnsi="Times New Roman" w:cs="Times New Roman"/>
          <w:color w:val="auto"/>
          <w:kern w:val="0"/>
          <w:sz w:val="24"/>
          <w:highlight w:val="none"/>
          <w:lang w:val="en-US" w:eastAsia="zh-CN"/>
        </w:rPr>
        <w:t>本</w:t>
      </w:r>
      <w:r>
        <w:rPr>
          <w:rFonts w:hint="default" w:ascii="Times New Roman" w:hAnsi="Times New Roman" w:eastAsia="宋体" w:cs="Times New Roman"/>
          <w:color w:val="auto"/>
          <w:kern w:val="0"/>
          <w:sz w:val="24"/>
          <w:highlight w:val="none"/>
        </w:rPr>
        <w:t>项目</w:t>
      </w:r>
      <w:r>
        <w:rPr>
          <w:rFonts w:hint="eastAsia" w:ascii="Times New Roman" w:hAnsi="Times New Roman" w:cs="Times New Roman"/>
          <w:color w:val="auto"/>
          <w:kern w:val="0"/>
          <w:sz w:val="24"/>
          <w:highlight w:val="none"/>
          <w:lang w:val="en-US" w:eastAsia="zh-CN"/>
        </w:rPr>
        <w:t>时</w:t>
      </w:r>
      <w:r>
        <w:rPr>
          <w:rFonts w:hint="default" w:ascii="Times New Roman" w:hAnsi="Times New Roman" w:eastAsia="宋体" w:cs="Times New Roman"/>
          <w:color w:val="auto"/>
          <w:kern w:val="0"/>
          <w:sz w:val="24"/>
          <w:highlight w:val="none"/>
        </w:rPr>
        <w:t>生产工况正常，符合竣工验收工况负荷要求。</w:t>
      </w:r>
    </w:p>
    <w:p w14:paraId="4FF7D121">
      <w:pPr>
        <w:pStyle w:val="9"/>
        <w:spacing w:line="360" w:lineRule="auto"/>
        <w:ind w:firstLine="360" w:firstLineChars="150"/>
        <w:rPr>
          <w:rFonts w:ascii="Times New Roman" w:hAnsi="Times New Roman" w:eastAsia="宋体" w:cs="Times New Roman"/>
          <w:color w:val="auto"/>
          <w:sz w:val="24"/>
          <w:szCs w:val="32"/>
          <w:highlight w:val="none"/>
        </w:rPr>
      </w:pPr>
      <w:r>
        <w:rPr>
          <w:rFonts w:ascii="Times New Roman" w:hAnsi="Times New Roman" w:eastAsia="宋体" w:cs="Times New Roman"/>
          <w:color w:val="auto"/>
          <w:sz w:val="24"/>
          <w:szCs w:val="32"/>
          <w:highlight w:val="none"/>
        </w:rPr>
        <w:t>（一）环保设施处理效率</w:t>
      </w:r>
    </w:p>
    <w:p w14:paraId="17DDAB71">
      <w:pPr>
        <w:pStyle w:val="9"/>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（1）废水处理设施</w:t>
      </w:r>
    </w:p>
    <w:p w14:paraId="795AF242">
      <w:pPr>
        <w:pStyle w:val="10"/>
        <w:keepNext w:val="0"/>
        <w:keepLines w:val="0"/>
        <w:widowControl w:val="0"/>
        <w:suppressLineNumbers w:val="0"/>
        <w:autoSpaceDE w:val="0"/>
        <w:autoSpaceDN/>
        <w:spacing w:before="0" w:beforeAutospacing="0" w:after="0" w:afterLines="0" w:afterAutospacing="0" w:line="360" w:lineRule="auto"/>
        <w:ind w:left="0" w:leftChars="0" w:right="0" w:firstLine="480" w:firstLineChars="200"/>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本项目无生产废水排放，不涉及废水处理设施处理效率问题。</w:t>
      </w:r>
    </w:p>
    <w:p w14:paraId="7BD53FA5">
      <w:pPr>
        <w:pStyle w:val="9"/>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（2）废气处理设施</w:t>
      </w:r>
    </w:p>
    <w:p w14:paraId="3DE137AF">
      <w:pPr>
        <w:pStyle w:val="10"/>
        <w:keepNext/>
        <w:keepLines/>
        <w:widowControl w:val="0"/>
        <w:suppressLineNumbers w:val="0"/>
        <w:autoSpaceDE w:val="0"/>
        <w:autoSpaceDN w:val="0"/>
        <w:adjustRightInd w:val="0"/>
        <w:spacing w:before="0" w:beforeLines="0" w:beforeAutospacing="0" w:after="0" w:afterLines="0" w:afterAutospacing="0" w:line="360" w:lineRule="auto"/>
        <w:ind w:left="0" w:right="0" w:firstLine="480" w:firstLineChars="200"/>
        <w:jc w:val="both"/>
        <w:outlineLvl w:val="1"/>
        <w:rPr>
          <w:rFonts w:hint="default" w:ascii="Times New Roman" w:hAnsi="Times New Roman" w:eastAsia="宋体" w:cs="Times New Roman"/>
          <w:b/>
          <w:bCs/>
          <w:color w:val="auto"/>
          <w:kern w:val="2"/>
          <w:sz w:val="24"/>
          <w:szCs w:val="24"/>
          <w:highlight w:val="none"/>
        </w:rPr>
      </w:pPr>
      <w:r>
        <w:rPr>
          <w:rFonts w:hint="eastAsia" w:ascii="宋体" w:hAnsi="宋体" w:eastAsia="宋体" w:cs="宋体"/>
          <w:b w:val="0"/>
          <w:bCs w:val="0"/>
          <w:color w:val="auto"/>
          <w:kern w:val="2"/>
          <w:sz w:val="24"/>
          <w:szCs w:val="24"/>
          <w:highlight w:val="none"/>
          <w:lang w:val="en-US" w:eastAsia="zh-CN" w:bidi="ar"/>
        </w:rPr>
        <w:t>污染物去除效率根据废气处理设施进出口检测数据计算，得到项目配备废气处理设施对工业烟粉尘的去除效率，具体见下表。</w:t>
      </w:r>
    </w:p>
    <w:p w14:paraId="54A2C4BE">
      <w:pPr>
        <w:pStyle w:val="10"/>
        <w:keepNext w:val="0"/>
        <w:keepLines w:val="0"/>
        <w:widowControl w:val="0"/>
        <w:suppressLineNumbers w:val="0"/>
        <w:autoSpaceDE w:val="0"/>
        <w:autoSpaceDN/>
        <w:spacing w:before="0" w:beforeAutospacing="0" w:after="0" w:afterLines="0" w:afterAutospacing="0"/>
        <w:ind w:left="0" w:right="0"/>
        <w:jc w:val="center"/>
        <w:rPr>
          <w:rFonts w:hint="default" w:ascii="Times New Roman" w:hAnsi="Times New Roman" w:eastAsia="宋体" w:cs="Times New Roman"/>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表</w:t>
      </w:r>
      <w:r>
        <w:rPr>
          <w:rFonts w:hint="default" w:ascii="Times New Roman" w:hAnsi="Times New Roman" w:eastAsia="宋体" w:cs="Times New Roman"/>
          <w:b/>
          <w:bCs/>
          <w:color w:val="auto"/>
          <w:kern w:val="2"/>
          <w:sz w:val="21"/>
          <w:szCs w:val="21"/>
          <w:highlight w:val="none"/>
          <w:lang w:val="en-US" w:eastAsia="zh-CN" w:bidi="ar"/>
        </w:rPr>
        <w:t xml:space="preserve">1  </w:t>
      </w:r>
      <w:r>
        <w:rPr>
          <w:rFonts w:hint="eastAsia" w:ascii="宋体" w:hAnsi="宋体" w:eastAsia="宋体" w:cs="宋体"/>
          <w:b/>
          <w:bCs/>
          <w:color w:val="auto"/>
          <w:kern w:val="2"/>
          <w:sz w:val="21"/>
          <w:szCs w:val="21"/>
          <w:highlight w:val="none"/>
          <w:lang w:val="en-US" w:eastAsia="zh-CN" w:bidi="ar"/>
        </w:rPr>
        <w:t>废气处理效果一览表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71"/>
        <w:gridCol w:w="1975"/>
        <w:gridCol w:w="1381"/>
        <w:gridCol w:w="1924"/>
        <w:gridCol w:w="1924"/>
        <w:gridCol w:w="973"/>
      </w:tblGrid>
      <w:tr w14:paraId="2B27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1371" w:type="dxa"/>
            <w:vMerge w:val="restart"/>
            <w:shd w:val="clear" w:color="auto" w:fill="auto"/>
            <w:vAlign w:val="center"/>
          </w:tcPr>
          <w:p w14:paraId="660B76A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排污口编号及名称</w:t>
            </w:r>
          </w:p>
        </w:tc>
        <w:tc>
          <w:tcPr>
            <w:tcW w:w="1975" w:type="dxa"/>
            <w:vMerge w:val="restart"/>
            <w:shd w:val="clear" w:color="auto" w:fill="auto"/>
            <w:vAlign w:val="center"/>
          </w:tcPr>
          <w:p w14:paraId="601D1C1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废气处理设施</w:t>
            </w:r>
          </w:p>
        </w:tc>
        <w:tc>
          <w:tcPr>
            <w:tcW w:w="1381" w:type="dxa"/>
            <w:vMerge w:val="restart"/>
            <w:shd w:val="clear" w:color="auto" w:fill="auto"/>
            <w:vAlign w:val="center"/>
          </w:tcPr>
          <w:p w14:paraId="62DB1B6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污染物</w:t>
            </w:r>
          </w:p>
        </w:tc>
        <w:tc>
          <w:tcPr>
            <w:tcW w:w="1924" w:type="dxa"/>
            <w:shd w:val="clear" w:color="auto" w:fill="auto"/>
            <w:vAlign w:val="center"/>
          </w:tcPr>
          <w:p w14:paraId="71995DB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进口</w:t>
            </w:r>
          </w:p>
        </w:tc>
        <w:tc>
          <w:tcPr>
            <w:tcW w:w="1924" w:type="dxa"/>
            <w:shd w:val="clear" w:color="auto" w:fill="auto"/>
            <w:vAlign w:val="center"/>
          </w:tcPr>
          <w:p w14:paraId="341014B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出口</w:t>
            </w:r>
          </w:p>
        </w:tc>
        <w:tc>
          <w:tcPr>
            <w:tcW w:w="973" w:type="dxa"/>
            <w:vMerge w:val="restart"/>
            <w:shd w:val="clear" w:color="auto" w:fill="auto"/>
            <w:vAlign w:val="center"/>
          </w:tcPr>
          <w:p w14:paraId="0B11E48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去除</w:t>
            </w:r>
          </w:p>
          <w:p w14:paraId="0148C20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效率</w:t>
            </w:r>
          </w:p>
        </w:tc>
      </w:tr>
      <w:tr w14:paraId="3792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71" w:type="dxa"/>
            <w:vMerge w:val="continue"/>
            <w:shd w:val="clear" w:color="auto" w:fill="auto"/>
            <w:vAlign w:val="center"/>
          </w:tcPr>
          <w:p w14:paraId="7892D409">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highlight w:val="none"/>
              </w:rPr>
            </w:pPr>
          </w:p>
        </w:tc>
        <w:tc>
          <w:tcPr>
            <w:tcW w:w="1975" w:type="dxa"/>
            <w:vMerge w:val="continue"/>
            <w:shd w:val="clear" w:color="auto" w:fill="auto"/>
            <w:vAlign w:val="center"/>
          </w:tcPr>
          <w:p w14:paraId="46E043A8">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highlight w:val="none"/>
              </w:rPr>
            </w:pPr>
          </w:p>
        </w:tc>
        <w:tc>
          <w:tcPr>
            <w:tcW w:w="1381" w:type="dxa"/>
            <w:vMerge w:val="continue"/>
            <w:shd w:val="clear" w:color="auto" w:fill="auto"/>
            <w:vAlign w:val="center"/>
          </w:tcPr>
          <w:p w14:paraId="13DF8049">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highlight w:val="none"/>
              </w:rPr>
            </w:pPr>
          </w:p>
        </w:tc>
        <w:tc>
          <w:tcPr>
            <w:tcW w:w="1924" w:type="dxa"/>
            <w:shd w:val="clear" w:color="auto" w:fill="auto"/>
            <w:vAlign w:val="center"/>
          </w:tcPr>
          <w:p w14:paraId="1C0AA9B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平均速率（</w:t>
            </w:r>
            <w:r>
              <w:rPr>
                <w:rFonts w:hint="default" w:ascii="Times New Roman" w:hAnsi="Times New Roman" w:eastAsia="宋体" w:cs="Times New Roman"/>
                <w:b/>
                <w:bCs/>
                <w:color w:val="auto"/>
                <w:kern w:val="2"/>
                <w:sz w:val="21"/>
                <w:szCs w:val="21"/>
                <w:highlight w:val="none"/>
                <w:lang w:val="en-US" w:eastAsia="zh-CN" w:bidi="ar"/>
              </w:rPr>
              <w:t>kg/h</w:t>
            </w:r>
            <w:r>
              <w:rPr>
                <w:rFonts w:hint="eastAsia" w:ascii="宋体" w:hAnsi="宋体" w:eastAsia="宋体" w:cs="宋体"/>
                <w:b/>
                <w:bCs/>
                <w:color w:val="auto"/>
                <w:kern w:val="2"/>
                <w:sz w:val="21"/>
                <w:szCs w:val="21"/>
                <w:highlight w:val="none"/>
                <w:lang w:val="en-US" w:eastAsia="zh-CN" w:bidi="ar"/>
              </w:rPr>
              <w:t>）</w:t>
            </w:r>
          </w:p>
        </w:tc>
        <w:tc>
          <w:tcPr>
            <w:tcW w:w="1924" w:type="dxa"/>
            <w:shd w:val="clear" w:color="auto" w:fill="auto"/>
            <w:vAlign w:val="center"/>
          </w:tcPr>
          <w:p w14:paraId="2137F68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平均速率（</w:t>
            </w:r>
            <w:r>
              <w:rPr>
                <w:rFonts w:hint="default" w:ascii="Times New Roman" w:hAnsi="Times New Roman" w:eastAsia="宋体" w:cs="Times New Roman"/>
                <w:b/>
                <w:bCs/>
                <w:color w:val="auto"/>
                <w:kern w:val="2"/>
                <w:sz w:val="21"/>
                <w:szCs w:val="21"/>
                <w:highlight w:val="none"/>
                <w:lang w:val="en-US" w:eastAsia="zh-CN" w:bidi="ar"/>
              </w:rPr>
              <w:t>kg/h</w:t>
            </w:r>
            <w:r>
              <w:rPr>
                <w:rFonts w:hint="eastAsia" w:ascii="宋体" w:hAnsi="宋体" w:eastAsia="宋体" w:cs="宋体"/>
                <w:b/>
                <w:bCs/>
                <w:color w:val="auto"/>
                <w:kern w:val="2"/>
                <w:sz w:val="21"/>
                <w:szCs w:val="21"/>
                <w:highlight w:val="none"/>
                <w:lang w:val="en-US" w:eastAsia="zh-CN" w:bidi="ar"/>
              </w:rPr>
              <w:t>）</w:t>
            </w:r>
          </w:p>
        </w:tc>
        <w:tc>
          <w:tcPr>
            <w:tcW w:w="973" w:type="dxa"/>
            <w:vMerge w:val="continue"/>
            <w:shd w:val="clear" w:color="auto" w:fill="auto"/>
            <w:vAlign w:val="center"/>
          </w:tcPr>
          <w:p w14:paraId="42E291C2">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highlight w:val="none"/>
              </w:rPr>
            </w:pPr>
          </w:p>
        </w:tc>
      </w:tr>
      <w:tr w14:paraId="7EF2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71" w:type="dxa"/>
            <w:vMerge w:val="restart"/>
            <w:shd w:val="clear" w:color="auto" w:fill="auto"/>
            <w:vAlign w:val="center"/>
          </w:tcPr>
          <w:p w14:paraId="48A8B11E">
            <w:pPr>
              <w:pStyle w:val="23"/>
              <w:keepNext w:val="0"/>
              <w:keepLines w:val="0"/>
              <w:suppressLineNumbers w:val="0"/>
              <w:adjustRightInd w:val="0"/>
              <w:spacing w:before="0" w:beforeAutospacing="0" w:after="0" w:afterAutospacing="0"/>
              <w:ind w:left="0" w:leftChars="0" w:right="0" w:rightChars="0"/>
              <w:rPr>
                <w:rFonts w:hint="default" w:ascii="Times New Roman" w:hAnsi="Times New Roman" w:eastAsia="宋体" w:cs="Times New Roman"/>
                <w:bCs/>
                <w:color w:val="auto"/>
                <w:kern w:val="2"/>
                <w:sz w:val="21"/>
                <w:szCs w:val="21"/>
                <w:highlight w:val="none"/>
              </w:rPr>
            </w:pPr>
            <w:r>
              <w:rPr>
                <w:rFonts w:hint="default" w:ascii="Times New Roman" w:hAnsi="Times New Roman" w:eastAsia="宋体" w:cs="Times New Roman"/>
                <w:bCs/>
                <w:color w:val="auto"/>
                <w:szCs w:val="21"/>
              </w:rPr>
              <w:t>直缝高频焊接烟尘、刮刀粉尘、乳化液受热废气排气筒DA001</w:t>
            </w:r>
          </w:p>
        </w:tc>
        <w:tc>
          <w:tcPr>
            <w:tcW w:w="1975" w:type="dxa"/>
            <w:vMerge w:val="restart"/>
            <w:shd w:val="clear" w:color="auto" w:fill="auto"/>
            <w:vAlign w:val="center"/>
          </w:tcPr>
          <w:p w14:paraId="75468FC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rPr>
            </w:pPr>
            <w:r>
              <w:rPr>
                <w:rFonts w:hint="default" w:ascii="Times New Roman" w:hAnsi="Times New Roman" w:eastAsia="宋体" w:cs="Times New Roman"/>
                <w:bCs/>
                <w:color w:val="auto"/>
                <w:kern w:val="2"/>
                <w:sz w:val="21"/>
                <w:szCs w:val="21"/>
                <w:highlight w:val="none"/>
                <w:lang w:val="en-US" w:eastAsia="zh-CN" w:bidi="ar"/>
              </w:rPr>
              <w:t>油雾净化器+布袋除尘装置</w:t>
            </w:r>
          </w:p>
        </w:tc>
        <w:tc>
          <w:tcPr>
            <w:tcW w:w="1381" w:type="dxa"/>
            <w:shd w:val="clear" w:color="auto" w:fill="auto"/>
            <w:vAlign w:val="center"/>
          </w:tcPr>
          <w:p w14:paraId="116D52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颗粒物</w:t>
            </w:r>
          </w:p>
          <w:p w14:paraId="2E5502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w:t>
            </w:r>
            <w:r>
              <w:rPr>
                <w:rFonts w:hint="eastAsia" w:ascii="Times New Roman" w:hAnsi="Times New Roman" w:cs="Times New Roman"/>
                <w:color w:val="auto"/>
                <w:highlight w:val="none"/>
                <w:lang w:val="en-US" w:eastAsia="zh-CN"/>
              </w:rPr>
              <w:t>2026.7.20</w:t>
            </w:r>
            <w:r>
              <w:rPr>
                <w:rFonts w:hint="default" w:ascii="Times New Roman" w:hAnsi="Times New Roman" w:eastAsia="宋体" w:cs="Times New Roman"/>
                <w:color w:val="auto"/>
                <w:highlight w:val="none"/>
                <w:lang w:val="en-US" w:eastAsia="zh-CN"/>
              </w:rPr>
              <w:t>）</w:t>
            </w:r>
          </w:p>
        </w:tc>
        <w:tc>
          <w:tcPr>
            <w:tcW w:w="1924" w:type="dxa"/>
            <w:shd w:val="clear" w:color="auto" w:fill="auto"/>
            <w:vAlign w:val="center"/>
          </w:tcPr>
          <w:p w14:paraId="688D608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cs="Times New Roman"/>
                <w:color w:val="auto"/>
                <w:kern w:val="2"/>
                <w:sz w:val="21"/>
                <w:szCs w:val="21"/>
                <w:highlight w:val="none"/>
                <w:lang w:val="en-US" w:eastAsia="zh-CN" w:bidi="ar"/>
              </w:rPr>
              <w:t>0.0766</w:t>
            </w:r>
          </w:p>
        </w:tc>
        <w:tc>
          <w:tcPr>
            <w:tcW w:w="1924" w:type="dxa"/>
            <w:shd w:val="clear" w:color="auto" w:fill="auto"/>
            <w:vAlign w:val="center"/>
          </w:tcPr>
          <w:p w14:paraId="67FB3DD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cs="Times New Roman"/>
                <w:color w:val="auto"/>
                <w:kern w:val="2"/>
                <w:sz w:val="21"/>
                <w:szCs w:val="21"/>
                <w:highlight w:val="none"/>
                <w:lang w:val="en-US" w:eastAsia="zh-CN" w:bidi="ar"/>
              </w:rPr>
              <w:t>0.0158</w:t>
            </w:r>
          </w:p>
        </w:tc>
        <w:tc>
          <w:tcPr>
            <w:tcW w:w="973" w:type="dxa"/>
            <w:shd w:val="clear" w:color="auto" w:fill="auto"/>
            <w:vAlign w:val="center"/>
          </w:tcPr>
          <w:p w14:paraId="2949DC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79.37%</w:t>
            </w:r>
          </w:p>
        </w:tc>
      </w:tr>
      <w:tr w14:paraId="2297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1371" w:type="dxa"/>
            <w:vMerge w:val="continue"/>
            <w:shd w:val="clear" w:color="auto" w:fill="auto"/>
            <w:vAlign w:val="center"/>
          </w:tcPr>
          <w:p w14:paraId="4D1DA17E">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highlight w:val="none"/>
              </w:rPr>
            </w:pPr>
          </w:p>
        </w:tc>
        <w:tc>
          <w:tcPr>
            <w:tcW w:w="1975" w:type="dxa"/>
            <w:vMerge w:val="continue"/>
            <w:shd w:val="clear" w:color="auto" w:fill="auto"/>
            <w:vAlign w:val="center"/>
          </w:tcPr>
          <w:p w14:paraId="19818D4A">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highlight w:val="none"/>
              </w:rPr>
            </w:pPr>
          </w:p>
        </w:tc>
        <w:tc>
          <w:tcPr>
            <w:tcW w:w="1381" w:type="dxa"/>
            <w:shd w:val="clear" w:color="auto" w:fill="auto"/>
            <w:vAlign w:val="center"/>
          </w:tcPr>
          <w:p w14:paraId="1661A4B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颗粒物</w:t>
            </w:r>
          </w:p>
          <w:p w14:paraId="751639D1">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（202</w:t>
            </w:r>
            <w:r>
              <w:rPr>
                <w:rFonts w:hint="eastAsia" w:ascii="Times New Roman" w:hAnsi="Times New Roman" w:cs="Times New Roman"/>
                <w:color w:val="auto"/>
                <w:kern w:val="2"/>
                <w:sz w:val="21"/>
                <w:szCs w:val="21"/>
                <w:highlight w:val="none"/>
                <w:lang w:val="en-US" w:eastAsia="zh-CN" w:bidi="ar"/>
              </w:rPr>
              <w:t>6.7.21</w:t>
            </w:r>
            <w:r>
              <w:rPr>
                <w:rFonts w:hint="default" w:ascii="Times New Roman" w:hAnsi="Times New Roman" w:eastAsia="宋体" w:cs="Times New Roman"/>
                <w:color w:val="auto"/>
                <w:kern w:val="2"/>
                <w:sz w:val="21"/>
                <w:szCs w:val="21"/>
                <w:highlight w:val="none"/>
                <w:lang w:val="en-US" w:eastAsia="zh-CN" w:bidi="ar"/>
              </w:rPr>
              <w:t>）</w:t>
            </w:r>
          </w:p>
        </w:tc>
        <w:tc>
          <w:tcPr>
            <w:tcW w:w="1924" w:type="dxa"/>
            <w:shd w:val="clear" w:color="auto" w:fill="auto"/>
            <w:vAlign w:val="center"/>
          </w:tcPr>
          <w:p w14:paraId="446A5831">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cs="Times New Roman"/>
                <w:color w:val="auto"/>
                <w:kern w:val="2"/>
                <w:sz w:val="21"/>
                <w:szCs w:val="21"/>
                <w:highlight w:val="none"/>
                <w:lang w:val="en-US" w:eastAsia="zh-CN" w:bidi="ar"/>
              </w:rPr>
              <w:t>0.0783</w:t>
            </w:r>
          </w:p>
        </w:tc>
        <w:tc>
          <w:tcPr>
            <w:tcW w:w="1924" w:type="dxa"/>
            <w:shd w:val="clear" w:color="auto" w:fill="auto"/>
            <w:vAlign w:val="center"/>
          </w:tcPr>
          <w:p w14:paraId="1F19A970">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cs="Times New Roman"/>
                <w:color w:val="auto"/>
                <w:kern w:val="2"/>
                <w:sz w:val="21"/>
                <w:szCs w:val="21"/>
                <w:highlight w:val="none"/>
                <w:lang w:val="en-US" w:eastAsia="zh-CN" w:bidi="ar"/>
              </w:rPr>
              <w:t>0.0167</w:t>
            </w:r>
          </w:p>
        </w:tc>
        <w:tc>
          <w:tcPr>
            <w:tcW w:w="973" w:type="dxa"/>
            <w:shd w:val="clear" w:color="auto" w:fill="auto"/>
            <w:vAlign w:val="center"/>
          </w:tcPr>
          <w:p w14:paraId="64C1A4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78.67%</w:t>
            </w:r>
          </w:p>
        </w:tc>
      </w:tr>
      <w:tr w14:paraId="08F2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1371" w:type="dxa"/>
            <w:vMerge w:val="restart"/>
            <w:shd w:val="clear" w:color="auto" w:fill="auto"/>
            <w:vAlign w:val="center"/>
          </w:tcPr>
          <w:p w14:paraId="175F4EBC">
            <w:pPr>
              <w:pStyle w:val="23"/>
              <w:keepNext w:val="0"/>
              <w:keepLines w:val="0"/>
              <w:suppressLineNumbers w:val="0"/>
              <w:adjustRightInd w:val="0"/>
              <w:spacing w:before="0" w:beforeAutospacing="0" w:after="0" w:afterAutospacing="0"/>
              <w:ind w:left="0" w:leftChars="0" w:right="0" w:rightChars="0"/>
              <w:rPr>
                <w:rFonts w:hint="default" w:ascii="Times New Roman" w:hAnsi="Times New Roman" w:eastAsia="宋体" w:cs="Times New Roman"/>
                <w:bCs/>
                <w:color w:val="auto"/>
                <w:kern w:val="2"/>
                <w:sz w:val="21"/>
                <w:szCs w:val="21"/>
                <w:highlight w:val="none"/>
              </w:rPr>
            </w:pPr>
            <w:r>
              <w:rPr>
                <w:rFonts w:hint="default" w:ascii="Times New Roman" w:hAnsi="Times New Roman" w:eastAsia="宋体" w:cs="Times New Roman"/>
                <w:bCs/>
                <w:color w:val="auto"/>
                <w:szCs w:val="21"/>
              </w:rPr>
              <w:t>直缝高频焊接烟尘、刮刀粉尘、乳化液受热废气排气筒DA00</w:t>
            </w:r>
            <w:r>
              <w:rPr>
                <w:rFonts w:hint="eastAsia" w:ascii="Times New Roman" w:hAnsi="Times New Roman" w:eastAsia="宋体" w:cs="Times New Roman"/>
                <w:bCs/>
                <w:color w:val="auto"/>
                <w:szCs w:val="21"/>
              </w:rPr>
              <w:t>2</w:t>
            </w:r>
          </w:p>
        </w:tc>
        <w:tc>
          <w:tcPr>
            <w:tcW w:w="1975" w:type="dxa"/>
            <w:vMerge w:val="restart"/>
            <w:shd w:val="clear" w:color="auto" w:fill="auto"/>
            <w:vAlign w:val="center"/>
          </w:tcPr>
          <w:p w14:paraId="62530967">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rPr>
            </w:pPr>
            <w:r>
              <w:rPr>
                <w:rFonts w:hint="default" w:ascii="Times New Roman" w:hAnsi="Times New Roman" w:eastAsia="宋体" w:cs="Times New Roman"/>
                <w:bCs/>
                <w:color w:val="auto"/>
                <w:kern w:val="2"/>
                <w:sz w:val="21"/>
                <w:szCs w:val="21"/>
                <w:highlight w:val="none"/>
                <w:lang w:val="en-US" w:eastAsia="zh-CN" w:bidi="ar"/>
              </w:rPr>
              <w:t>油雾净化器+布袋除尘装置</w:t>
            </w:r>
          </w:p>
        </w:tc>
        <w:tc>
          <w:tcPr>
            <w:tcW w:w="1381" w:type="dxa"/>
            <w:shd w:val="clear" w:color="auto" w:fill="auto"/>
            <w:vAlign w:val="center"/>
          </w:tcPr>
          <w:p w14:paraId="3810DA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颗粒物</w:t>
            </w:r>
          </w:p>
          <w:p w14:paraId="1584BFB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w:t>
            </w:r>
            <w:r>
              <w:rPr>
                <w:rFonts w:hint="eastAsia" w:ascii="Times New Roman" w:hAnsi="Times New Roman" w:cs="Times New Roman"/>
                <w:color w:val="auto"/>
                <w:highlight w:val="none"/>
                <w:lang w:val="en-US" w:eastAsia="zh-CN"/>
              </w:rPr>
              <w:t>2026.7.20</w:t>
            </w:r>
            <w:r>
              <w:rPr>
                <w:rFonts w:hint="default" w:ascii="Times New Roman" w:hAnsi="Times New Roman" w:eastAsia="宋体" w:cs="Times New Roman"/>
                <w:color w:val="auto"/>
                <w:highlight w:val="none"/>
                <w:lang w:val="en-US" w:eastAsia="zh-CN"/>
              </w:rPr>
              <w:t>）</w:t>
            </w:r>
          </w:p>
        </w:tc>
        <w:tc>
          <w:tcPr>
            <w:tcW w:w="1924" w:type="dxa"/>
            <w:shd w:val="clear" w:color="auto" w:fill="auto"/>
            <w:vAlign w:val="center"/>
          </w:tcPr>
          <w:p w14:paraId="4B3EDA50">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cs="Times New Roman"/>
                <w:color w:val="auto"/>
                <w:kern w:val="2"/>
                <w:sz w:val="21"/>
                <w:szCs w:val="21"/>
                <w:highlight w:val="none"/>
                <w:lang w:val="en-US" w:eastAsia="zh-CN" w:bidi="ar"/>
              </w:rPr>
              <w:t>0.0451</w:t>
            </w:r>
          </w:p>
        </w:tc>
        <w:tc>
          <w:tcPr>
            <w:tcW w:w="1924" w:type="dxa"/>
            <w:shd w:val="clear" w:color="auto" w:fill="auto"/>
            <w:vAlign w:val="center"/>
          </w:tcPr>
          <w:p w14:paraId="4139773D">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cs="Times New Roman"/>
                <w:color w:val="auto"/>
                <w:kern w:val="2"/>
                <w:sz w:val="21"/>
                <w:szCs w:val="21"/>
                <w:highlight w:val="none"/>
                <w:lang w:val="en-US" w:eastAsia="zh-CN" w:bidi="ar"/>
              </w:rPr>
              <w:t>0.0121</w:t>
            </w:r>
          </w:p>
        </w:tc>
        <w:tc>
          <w:tcPr>
            <w:tcW w:w="973" w:type="dxa"/>
            <w:shd w:val="clear" w:color="auto" w:fill="auto"/>
            <w:vAlign w:val="center"/>
          </w:tcPr>
          <w:p w14:paraId="71B584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73.17%</w:t>
            </w:r>
          </w:p>
        </w:tc>
      </w:tr>
      <w:tr w14:paraId="05F5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71" w:type="dxa"/>
            <w:vMerge w:val="continue"/>
            <w:shd w:val="clear" w:color="auto" w:fill="auto"/>
            <w:vAlign w:val="center"/>
          </w:tcPr>
          <w:p w14:paraId="19A5A812">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highlight w:val="none"/>
              </w:rPr>
            </w:pPr>
          </w:p>
        </w:tc>
        <w:tc>
          <w:tcPr>
            <w:tcW w:w="1975" w:type="dxa"/>
            <w:vMerge w:val="continue"/>
            <w:shd w:val="clear" w:color="auto" w:fill="auto"/>
            <w:vAlign w:val="center"/>
          </w:tcPr>
          <w:p w14:paraId="4D2EC638">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highlight w:val="none"/>
              </w:rPr>
            </w:pPr>
          </w:p>
        </w:tc>
        <w:tc>
          <w:tcPr>
            <w:tcW w:w="1381" w:type="dxa"/>
            <w:shd w:val="clear" w:color="auto" w:fill="auto"/>
            <w:vAlign w:val="center"/>
          </w:tcPr>
          <w:p w14:paraId="2227E3E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颗粒物</w:t>
            </w:r>
          </w:p>
          <w:p w14:paraId="55EF704E">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（202</w:t>
            </w:r>
            <w:r>
              <w:rPr>
                <w:rFonts w:hint="eastAsia" w:ascii="Times New Roman" w:hAnsi="Times New Roman" w:cs="Times New Roman"/>
                <w:color w:val="auto"/>
                <w:kern w:val="2"/>
                <w:sz w:val="21"/>
                <w:szCs w:val="21"/>
                <w:highlight w:val="none"/>
                <w:lang w:val="en-US" w:eastAsia="zh-CN" w:bidi="ar"/>
              </w:rPr>
              <w:t>6.7.21</w:t>
            </w:r>
            <w:r>
              <w:rPr>
                <w:rFonts w:hint="default" w:ascii="Times New Roman" w:hAnsi="Times New Roman" w:eastAsia="宋体" w:cs="Times New Roman"/>
                <w:color w:val="auto"/>
                <w:kern w:val="2"/>
                <w:sz w:val="21"/>
                <w:szCs w:val="21"/>
                <w:highlight w:val="none"/>
                <w:lang w:val="en-US" w:eastAsia="zh-CN" w:bidi="ar"/>
              </w:rPr>
              <w:t>）</w:t>
            </w:r>
          </w:p>
        </w:tc>
        <w:tc>
          <w:tcPr>
            <w:tcW w:w="1924" w:type="dxa"/>
            <w:shd w:val="clear" w:color="auto" w:fill="auto"/>
            <w:vAlign w:val="center"/>
          </w:tcPr>
          <w:p w14:paraId="457CB595">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cs="Times New Roman"/>
                <w:color w:val="auto"/>
                <w:kern w:val="2"/>
                <w:sz w:val="21"/>
                <w:szCs w:val="21"/>
                <w:highlight w:val="none"/>
                <w:lang w:val="en-US" w:eastAsia="zh-CN" w:bidi="ar"/>
              </w:rPr>
              <w:t>0.0454</w:t>
            </w:r>
          </w:p>
        </w:tc>
        <w:tc>
          <w:tcPr>
            <w:tcW w:w="1924" w:type="dxa"/>
            <w:shd w:val="clear" w:color="auto" w:fill="auto"/>
            <w:vAlign w:val="center"/>
          </w:tcPr>
          <w:p w14:paraId="2A574C38">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cs="Times New Roman"/>
                <w:color w:val="auto"/>
                <w:kern w:val="2"/>
                <w:sz w:val="21"/>
                <w:szCs w:val="21"/>
                <w:highlight w:val="none"/>
                <w:lang w:val="en-US" w:eastAsia="zh-CN" w:bidi="ar"/>
              </w:rPr>
              <w:t>0.0118</w:t>
            </w:r>
          </w:p>
        </w:tc>
        <w:tc>
          <w:tcPr>
            <w:tcW w:w="973" w:type="dxa"/>
            <w:shd w:val="clear" w:color="auto" w:fill="auto"/>
            <w:vAlign w:val="center"/>
          </w:tcPr>
          <w:p w14:paraId="0207DC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74.01%</w:t>
            </w:r>
          </w:p>
        </w:tc>
      </w:tr>
      <w:tr w14:paraId="30ED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12" w:hRule="atLeast"/>
          <w:jc w:val="center"/>
        </w:trPr>
        <w:tc>
          <w:tcPr>
            <w:tcW w:w="1371" w:type="dxa"/>
            <w:vMerge w:val="restart"/>
            <w:shd w:val="clear" w:color="auto" w:fill="auto"/>
            <w:vAlign w:val="center"/>
          </w:tcPr>
          <w:p w14:paraId="27084B0C">
            <w:pPr>
              <w:pStyle w:val="23"/>
              <w:keepNext w:val="0"/>
              <w:keepLines w:val="0"/>
              <w:suppressLineNumbers w:val="0"/>
              <w:adjustRightInd w:val="0"/>
              <w:spacing w:before="0" w:beforeAutospacing="0" w:after="0" w:afterAutospacing="0"/>
              <w:ind w:left="0" w:leftChars="0" w:right="0" w:rightChars="0"/>
              <w:rPr>
                <w:rFonts w:hint="default" w:ascii="Times New Roman" w:hAnsi="Times New Roman" w:eastAsia="宋体" w:cs="Times New Roman"/>
                <w:bCs/>
                <w:color w:val="auto"/>
                <w:kern w:val="2"/>
                <w:sz w:val="21"/>
                <w:szCs w:val="21"/>
                <w:highlight w:val="none"/>
              </w:rPr>
            </w:pPr>
            <w:r>
              <w:rPr>
                <w:rFonts w:hint="eastAsia" w:ascii="Times New Roman" w:hAnsi="Times New Roman" w:eastAsia="宋体" w:cs="Times New Roman"/>
                <w:bCs/>
                <w:color w:val="auto"/>
                <w:szCs w:val="21"/>
              </w:rPr>
              <w:t>抛光粉尘</w:t>
            </w:r>
            <w:r>
              <w:rPr>
                <w:rFonts w:hint="default" w:ascii="Times New Roman" w:hAnsi="Times New Roman" w:eastAsia="宋体" w:cs="Times New Roman"/>
                <w:bCs/>
                <w:color w:val="auto"/>
                <w:szCs w:val="21"/>
              </w:rPr>
              <w:t>DA00</w:t>
            </w:r>
            <w:r>
              <w:rPr>
                <w:rFonts w:hint="eastAsia" w:ascii="Times New Roman" w:hAnsi="Times New Roman" w:eastAsia="宋体" w:cs="Times New Roman"/>
                <w:bCs/>
                <w:color w:val="auto"/>
                <w:szCs w:val="21"/>
              </w:rPr>
              <w:t>3</w:t>
            </w:r>
          </w:p>
        </w:tc>
        <w:tc>
          <w:tcPr>
            <w:tcW w:w="1975" w:type="dxa"/>
            <w:vMerge w:val="restart"/>
            <w:shd w:val="clear" w:color="auto" w:fill="auto"/>
            <w:vAlign w:val="center"/>
          </w:tcPr>
          <w:p w14:paraId="190E2D6B">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rPr>
            </w:pPr>
            <w:r>
              <w:rPr>
                <w:rFonts w:hint="default" w:ascii="Times New Roman" w:hAnsi="Times New Roman" w:eastAsia="宋体" w:cs="Times New Roman"/>
                <w:bCs/>
                <w:color w:val="auto"/>
                <w:kern w:val="2"/>
                <w:sz w:val="21"/>
                <w:szCs w:val="21"/>
                <w:highlight w:val="none"/>
                <w:lang w:val="en-US" w:eastAsia="zh-CN" w:bidi="ar"/>
              </w:rPr>
              <w:t>水幕除尘装置</w:t>
            </w:r>
            <w:r>
              <w:rPr>
                <w:rFonts w:hint="eastAsia" w:ascii="Times New Roman" w:hAnsi="Times New Roman" w:cs="Times New Roman"/>
                <w:bCs/>
                <w:color w:val="auto"/>
                <w:kern w:val="2"/>
                <w:sz w:val="21"/>
                <w:szCs w:val="21"/>
                <w:highlight w:val="none"/>
                <w:lang w:val="en-US" w:eastAsia="zh-CN" w:bidi="ar"/>
              </w:rPr>
              <w:t>（自带）</w:t>
            </w:r>
            <w:r>
              <w:rPr>
                <w:rFonts w:hint="default" w:ascii="Times New Roman" w:hAnsi="Times New Roman" w:eastAsia="宋体" w:cs="Times New Roman"/>
                <w:bCs/>
                <w:color w:val="auto"/>
                <w:kern w:val="2"/>
                <w:sz w:val="21"/>
                <w:szCs w:val="21"/>
                <w:highlight w:val="none"/>
                <w:lang w:val="en-US" w:eastAsia="zh-CN" w:bidi="ar"/>
              </w:rPr>
              <w:t>+布袋除尘装置</w:t>
            </w:r>
          </w:p>
        </w:tc>
        <w:tc>
          <w:tcPr>
            <w:tcW w:w="1381" w:type="dxa"/>
            <w:shd w:val="clear" w:color="auto" w:fill="auto"/>
            <w:vAlign w:val="center"/>
          </w:tcPr>
          <w:p w14:paraId="6FB377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颗粒物</w:t>
            </w:r>
          </w:p>
          <w:p w14:paraId="344687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highlight w:val="none"/>
                <w:lang w:val="en-US" w:eastAsia="zh-CN"/>
              </w:rPr>
              <w:t>（</w:t>
            </w:r>
            <w:r>
              <w:rPr>
                <w:rFonts w:hint="eastAsia" w:ascii="Times New Roman" w:hAnsi="Times New Roman" w:cs="Times New Roman"/>
                <w:color w:val="auto"/>
                <w:highlight w:val="none"/>
                <w:lang w:val="en-US" w:eastAsia="zh-CN"/>
              </w:rPr>
              <w:t>2026.7.20</w:t>
            </w:r>
            <w:r>
              <w:rPr>
                <w:rFonts w:hint="default" w:ascii="Times New Roman" w:hAnsi="Times New Roman" w:eastAsia="宋体" w:cs="Times New Roman"/>
                <w:color w:val="auto"/>
                <w:highlight w:val="none"/>
                <w:lang w:val="en-US" w:eastAsia="zh-CN"/>
              </w:rPr>
              <w:t>）</w:t>
            </w:r>
          </w:p>
        </w:tc>
        <w:tc>
          <w:tcPr>
            <w:tcW w:w="1924" w:type="dxa"/>
            <w:shd w:val="clear" w:color="auto" w:fill="auto"/>
            <w:vAlign w:val="center"/>
          </w:tcPr>
          <w:p w14:paraId="4D4890B7">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cs="Times New Roman"/>
                <w:color w:val="auto"/>
                <w:kern w:val="2"/>
                <w:sz w:val="21"/>
                <w:szCs w:val="21"/>
                <w:highlight w:val="none"/>
                <w:lang w:val="en-US" w:eastAsia="zh-CN" w:bidi="ar"/>
              </w:rPr>
              <w:t>0.0816</w:t>
            </w:r>
          </w:p>
        </w:tc>
        <w:tc>
          <w:tcPr>
            <w:tcW w:w="1924" w:type="dxa"/>
            <w:shd w:val="clear" w:color="auto" w:fill="auto"/>
            <w:vAlign w:val="center"/>
          </w:tcPr>
          <w:p w14:paraId="3C608C19">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cs="Times New Roman"/>
                <w:color w:val="auto"/>
                <w:kern w:val="2"/>
                <w:sz w:val="21"/>
                <w:szCs w:val="21"/>
                <w:highlight w:val="none"/>
                <w:lang w:val="en-US" w:eastAsia="zh-CN" w:bidi="ar"/>
              </w:rPr>
              <w:t>0.0187</w:t>
            </w:r>
          </w:p>
        </w:tc>
        <w:tc>
          <w:tcPr>
            <w:tcW w:w="973" w:type="dxa"/>
            <w:shd w:val="clear" w:color="auto" w:fill="auto"/>
            <w:vAlign w:val="center"/>
          </w:tcPr>
          <w:p w14:paraId="3F2A24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77.08%</w:t>
            </w:r>
          </w:p>
        </w:tc>
      </w:tr>
      <w:tr w14:paraId="3D96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1371" w:type="dxa"/>
            <w:vMerge w:val="continue"/>
            <w:shd w:val="clear" w:color="auto" w:fill="auto"/>
            <w:vAlign w:val="center"/>
          </w:tcPr>
          <w:p w14:paraId="2B870A39">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highlight w:val="none"/>
              </w:rPr>
            </w:pPr>
          </w:p>
        </w:tc>
        <w:tc>
          <w:tcPr>
            <w:tcW w:w="1975" w:type="dxa"/>
            <w:vMerge w:val="continue"/>
            <w:shd w:val="clear" w:color="auto" w:fill="auto"/>
            <w:vAlign w:val="center"/>
          </w:tcPr>
          <w:p w14:paraId="0240D6CA">
            <w:pPr>
              <w:keepNext w:val="0"/>
              <w:keepLines w:val="0"/>
              <w:suppressLineNumbers w:val="0"/>
              <w:spacing w:before="0" w:beforeAutospacing="0" w:after="0" w:afterAutospacing="0"/>
              <w:ind w:left="0" w:right="0"/>
              <w:jc w:val="both"/>
              <w:rPr>
                <w:rFonts w:hint="default" w:ascii="Times New Roman" w:hAnsi="Times New Roman" w:cs="Times New Roman"/>
                <w:color w:val="auto"/>
                <w:sz w:val="20"/>
                <w:szCs w:val="20"/>
                <w:highlight w:val="none"/>
              </w:rPr>
            </w:pPr>
          </w:p>
        </w:tc>
        <w:tc>
          <w:tcPr>
            <w:tcW w:w="1381" w:type="dxa"/>
            <w:shd w:val="clear" w:color="auto" w:fill="auto"/>
            <w:vAlign w:val="center"/>
          </w:tcPr>
          <w:p w14:paraId="1DF90B0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颗粒物</w:t>
            </w:r>
          </w:p>
          <w:p w14:paraId="44A94CA1">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（202</w:t>
            </w:r>
            <w:r>
              <w:rPr>
                <w:rFonts w:hint="eastAsia" w:ascii="Times New Roman" w:hAnsi="Times New Roman" w:cs="Times New Roman"/>
                <w:color w:val="auto"/>
                <w:kern w:val="2"/>
                <w:sz w:val="21"/>
                <w:szCs w:val="21"/>
                <w:highlight w:val="none"/>
                <w:lang w:val="en-US" w:eastAsia="zh-CN" w:bidi="ar"/>
              </w:rPr>
              <w:t>6.7.21</w:t>
            </w:r>
            <w:r>
              <w:rPr>
                <w:rFonts w:hint="default" w:ascii="Times New Roman" w:hAnsi="Times New Roman" w:eastAsia="宋体" w:cs="Times New Roman"/>
                <w:color w:val="auto"/>
                <w:kern w:val="2"/>
                <w:sz w:val="21"/>
                <w:szCs w:val="21"/>
                <w:highlight w:val="none"/>
                <w:lang w:val="en-US" w:eastAsia="zh-CN" w:bidi="ar"/>
              </w:rPr>
              <w:t>）</w:t>
            </w:r>
          </w:p>
        </w:tc>
        <w:tc>
          <w:tcPr>
            <w:tcW w:w="1924" w:type="dxa"/>
            <w:shd w:val="clear" w:color="auto" w:fill="auto"/>
            <w:vAlign w:val="center"/>
          </w:tcPr>
          <w:p w14:paraId="47E330D0">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eastAsia" w:ascii="Times New Roman" w:hAnsi="Times New Roman" w:cs="Times New Roman"/>
                <w:color w:val="auto"/>
                <w:kern w:val="2"/>
                <w:sz w:val="21"/>
                <w:szCs w:val="21"/>
                <w:highlight w:val="none"/>
                <w:lang w:val="en-US" w:eastAsia="zh-CN" w:bidi="ar"/>
              </w:rPr>
              <w:t>0.0806</w:t>
            </w:r>
          </w:p>
        </w:tc>
        <w:tc>
          <w:tcPr>
            <w:tcW w:w="1924" w:type="dxa"/>
            <w:shd w:val="clear" w:color="auto" w:fill="auto"/>
            <w:vAlign w:val="center"/>
          </w:tcPr>
          <w:p w14:paraId="1D1DA878">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
              </w:rPr>
            </w:pPr>
            <w:r>
              <w:rPr>
                <w:rFonts w:hint="eastAsia" w:ascii="Times New Roman" w:hAnsi="Times New Roman" w:cs="Times New Roman"/>
                <w:color w:val="auto"/>
                <w:kern w:val="2"/>
                <w:sz w:val="21"/>
                <w:szCs w:val="21"/>
                <w:highlight w:val="none"/>
                <w:lang w:val="en-US" w:eastAsia="zh-CN" w:bidi="ar"/>
              </w:rPr>
              <w:t>0.0176</w:t>
            </w:r>
          </w:p>
        </w:tc>
        <w:tc>
          <w:tcPr>
            <w:tcW w:w="973" w:type="dxa"/>
            <w:shd w:val="clear" w:color="auto" w:fill="auto"/>
            <w:vAlign w:val="center"/>
          </w:tcPr>
          <w:p w14:paraId="29F6F7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78.16%</w:t>
            </w:r>
          </w:p>
        </w:tc>
      </w:tr>
    </w:tbl>
    <w:p w14:paraId="2A14C77C">
      <w:pPr>
        <w:pStyle w:val="10"/>
        <w:keepNext w:val="0"/>
        <w:keepLines w:val="0"/>
        <w:widowControl w:val="0"/>
        <w:suppressLineNumbers w:val="0"/>
        <w:autoSpaceDE w:val="0"/>
        <w:autoSpaceDN/>
        <w:spacing w:before="0" w:beforeAutospacing="0" w:after="0" w:afterLines="0" w:afterAutospacing="0" w:line="360" w:lineRule="auto"/>
        <w:ind w:left="0" w:leftChars="0" w:right="0" w:firstLine="480" w:firstLineChars="200"/>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项目验收监测期间，由检测结果可知，</w:t>
      </w:r>
      <w:r>
        <w:rPr>
          <w:rFonts w:hint="eastAsia" w:ascii="宋体" w:hAnsi="宋体" w:eastAsia="宋体" w:cs="宋体"/>
          <w:color w:val="auto"/>
          <w:kern w:val="2"/>
          <w:sz w:val="24"/>
          <w:szCs w:val="24"/>
        </w:rPr>
        <w:t>本项目直缝高频焊接烟尘、乳化液受热废气、刮刀粉尘中颗粒物和非甲烷总烃有组织排放浓度满足《大气污染物综合排放标准》（</w:t>
      </w:r>
      <w:r>
        <w:rPr>
          <w:rFonts w:hint="default" w:ascii="Times New Roman" w:hAnsi="Times New Roman" w:eastAsia="宋体" w:cs="Times New Roman"/>
          <w:color w:val="auto"/>
          <w:kern w:val="2"/>
          <w:sz w:val="24"/>
          <w:szCs w:val="24"/>
        </w:rPr>
        <w:t>GB16297-1996</w:t>
      </w:r>
      <w:r>
        <w:rPr>
          <w:rFonts w:hint="eastAsia" w:ascii="宋体" w:hAnsi="宋体" w:eastAsia="宋体" w:cs="宋体"/>
          <w:color w:val="auto"/>
          <w:kern w:val="2"/>
          <w:sz w:val="24"/>
          <w:szCs w:val="24"/>
        </w:rPr>
        <w:t>）表</w:t>
      </w:r>
      <w:r>
        <w:rPr>
          <w:rFonts w:hint="default" w:ascii="Times New Roman" w:hAnsi="Times New Roman" w:eastAsia="宋体" w:cs="Times New Roman"/>
          <w:color w:val="auto"/>
          <w:kern w:val="2"/>
          <w:sz w:val="24"/>
          <w:szCs w:val="24"/>
        </w:rPr>
        <w:t>2</w:t>
      </w:r>
      <w:r>
        <w:rPr>
          <w:rFonts w:hint="eastAsia" w:ascii="宋体" w:hAnsi="宋体" w:eastAsia="宋体" w:cs="宋体"/>
          <w:color w:val="auto"/>
          <w:kern w:val="2"/>
          <w:sz w:val="24"/>
          <w:szCs w:val="24"/>
        </w:rPr>
        <w:t>中的“新污染源，二级标准”（即颗粒物≤</w:t>
      </w:r>
      <w:r>
        <w:rPr>
          <w:rFonts w:hint="default" w:ascii="Times New Roman" w:hAnsi="Times New Roman" w:eastAsia="宋体" w:cs="Times New Roman"/>
          <w:color w:val="auto"/>
          <w:kern w:val="2"/>
          <w:sz w:val="24"/>
          <w:szCs w:val="24"/>
        </w:rPr>
        <w:t>120</w:t>
      </w:r>
      <w:r>
        <w:rPr>
          <w:rFonts w:hint="default" w:ascii="Times New Roman" w:hAnsi="Times New Roman" w:eastAsia="宋体" w:cs="Times New Roman"/>
          <w:b w:val="0"/>
          <w:bCs w:val="0"/>
          <w:color w:val="auto"/>
          <w:kern w:val="2"/>
          <w:sz w:val="24"/>
          <w:szCs w:val="24"/>
        </w:rPr>
        <w:t>mg/m</w:t>
      </w:r>
      <w:r>
        <w:rPr>
          <w:rFonts w:hint="default" w:ascii="Times New Roman" w:hAnsi="Times New Roman" w:eastAsia="宋体" w:cs="Times New Roman"/>
          <w:b w:val="0"/>
          <w:bCs w:val="0"/>
          <w:color w:val="auto"/>
          <w:kern w:val="2"/>
          <w:sz w:val="24"/>
          <w:szCs w:val="24"/>
          <w:vertAlign w:val="superscript"/>
        </w:rPr>
        <w:t>3</w:t>
      </w:r>
      <w:r>
        <w:rPr>
          <w:rFonts w:hint="eastAsia" w:ascii="宋体" w:hAnsi="宋体" w:eastAsia="宋体" w:cs="宋体"/>
          <w:b w:val="0"/>
          <w:bCs w:val="0"/>
          <w:color w:val="auto"/>
          <w:kern w:val="2"/>
          <w:sz w:val="24"/>
          <w:szCs w:val="24"/>
        </w:rPr>
        <w:t>、非甲烷总烃≤</w:t>
      </w:r>
      <w:r>
        <w:rPr>
          <w:rFonts w:hint="default" w:ascii="Times New Roman" w:hAnsi="Times New Roman" w:eastAsia="宋体" w:cs="Times New Roman"/>
          <w:b w:val="0"/>
          <w:bCs w:val="0"/>
          <w:color w:val="auto"/>
          <w:kern w:val="2"/>
          <w:sz w:val="24"/>
          <w:szCs w:val="24"/>
        </w:rPr>
        <w:t>120mg/m</w:t>
      </w:r>
      <w:r>
        <w:rPr>
          <w:rFonts w:hint="default" w:ascii="Times New Roman" w:hAnsi="Times New Roman" w:eastAsia="宋体" w:cs="Times New Roman"/>
          <w:b w:val="0"/>
          <w:bCs w:val="0"/>
          <w:color w:val="auto"/>
          <w:kern w:val="2"/>
          <w:sz w:val="24"/>
          <w:szCs w:val="24"/>
          <w:vertAlign w:val="superscript"/>
        </w:rPr>
        <w:t>3</w:t>
      </w:r>
      <w:r>
        <w:rPr>
          <w:rFonts w:hint="eastAsia" w:ascii="宋体" w:hAnsi="宋体" w:eastAsia="宋体" w:cs="宋体"/>
          <w:color w:val="auto"/>
          <w:kern w:val="2"/>
          <w:sz w:val="24"/>
          <w:szCs w:val="24"/>
        </w:rPr>
        <w:t>）；抛光粉尘中颗粒物有组织排放浓度满足《大气污染物综合排放标准》（</w:t>
      </w:r>
      <w:r>
        <w:rPr>
          <w:rFonts w:hint="default" w:ascii="Times New Roman" w:hAnsi="Times New Roman" w:eastAsia="宋体" w:cs="Times New Roman"/>
          <w:color w:val="auto"/>
          <w:kern w:val="2"/>
          <w:sz w:val="24"/>
          <w:szCs w:val="24"/>
        </w:rPr>
        <w:t>GB16297-1996</w:t>
      </w:r>
      <w:r>
        <w:rPr>
          <w:rFonts w:hint="eastAsia" w:ascii="宋体" w:hAnsi="宋体" w:eastAsia="宋体" w:cs="宋体"/>
          <w:color w:val="auto"/>
          <w:kern w:val="2"/>
          <w:sz w:val="24"/>
          <w:szCs w:val="24"/>
        </w:rPr>
        <w:t>）表</w:t>
      </w:r>
      <w:r>
        <w:rPr>
          <w:rFonts w:hint="default" w:ascii="Times New Roman" w:hAnsi="Times New Roman" w:eastAsia="宋体" w:cs="Times New Roman"/>
          <w:color w:val="auto"/>
          <w:kern w:val="2"/>
          <w:sz w:val="24"/>
          <w:szCs w:val="24"/>
        </w:rPr>
        <w:t>2</w:t>
      </w:r>
      <w:r>
        <w:rPr>
          <w:rFonts w:hint="eastAsia" w:ascii="宋体" w:hAnsi="宋体" w:eastAsia="宋体" w:cs="宋体"/>
          <w:color w:val="auto"/>
          <w:kern w:val="2"/>
          <w:sz w:val="24"/>
          <w:szCs w:val="24"/>
        </w:rPr>
        <w:t>中的“新污染源，二级标准”（即颗粒物≤</w:t>
      </w:r>
      <w:r>
        <w:rPr>
          <w:rFonts w:hint="default" w:ascii="Times New Roman" w:hAnsi="Times New Roman" w:eastAsia="宋体" w:cs="Times New Roman"/>
          <w:color w:val="auto"/>
          <w:kern w:val="2"/>
          <w:sz w:val="24"/>
          <w:szCs w:val="24"/>
        </w:rPr>
        <w:t>120</w:t>
      </w:r>
      <w:r>
        <w:rPr>
          <w:rFonts w:hint="default" w:ascii="Times New Roman" w:hAnsi="Times New Roman" w:eastAsia="宋体" w:cs="Times New Roman"/>
          <w:b w:val="0"/>
          <w:bCs w:val="0"/>
          <w:color w:val="auto"/>
          <w:kern w:val="2"/>
          <w:sz w:val="24"/>
          <w:szCs w:val="24"/>
        </w:rPr>
        <w:t>mg/m</w:t>
      </w:r>
      <w:r>
        <w:rPr>
          <w:rFonts w:hint="default" w:ascii="Times New Roman" w:hAnsi="Times New Roman" w:eastAsia="宋体" w:cs="Times New Roman"/>
          <w:b w:val="0"/>
          <w:bCs w:val="0"/>
          <w:color w:val="auto"/>
          <w:kern w:val="2"/>
          <w:sz w:val="24"/>
          <w:szCs w:val="24"/>
          <w:vertAlign w:val="superscript"/>
        </w:rPr>
        <w:t>3</w:t>
      </w:r>
      <w:r>
        <w:rPr>
          <w:rFonts w:hint="eastAsia" w:ascii="宋体" w:hAnsi="宋体" w:eastAsia="宋体" w:cs="宋体"/>
          <w:color w:val="auto"/>
          <w:kern w:val="2"/>
          <w:sz w:val="24"/>
          <w:szCs w:val="24"/>
        </w:rPr>
        <w:t>）；食堂油烟废气中油烟有组织排放浓度满足《饮食业油烟排放标准（试行）》（</w:t>
      </w:r>
      <w:r>
        <w:rPr>
          <w:rFonts w:hint="default" w:ascii="Times New Roman" w:hAnsi="Times New Roman" w:eastAsia="宋体" w:cs="Times New Roman"/>
          <w:color w:val="auto"/>
          <w:kern w:val="2"/>
          <w:sz w:val="24"/>
          <w:szCs w:val="24"/>
        </w:rPr>
        <w:t>GB18483-2001</w:t>
      </w:r>
      <w:r>
        <w:rPr>
          <w:rFonts w:hint="eastAsia" w:ascii="宋体" w:hAnsi="宋体" w:eastAsia="宋体" w:cs="宋体"/>
          <w:color w:val="auto"/>
          <w:kern w:val="2"/>
          <w:sz w:val="24"/>
          <w:szCs w:val="24"/>
        </w:rPr>
        <w:t>）中的中型规模标准（即油烟≤</w:t>
      </w:r>
      <w:r>
        <w:rPr>
          <w:rFonts w:hint="default" w:ascii="Times New Roman" w:hAnsi="Times New Roman" w:eastAsia="宋体" w:cs="Times New Roman"/>
          <w:color w:val="auto"/>
          <w:kern w:val="2"/>
          <w:sz w:val="24"/>
          <w:szCs w:val="24"/>
        </w:rPr>
        <w:t>2.0mg/m</w:t>
      </w:r>
      <w:r>
        <w:rPr>
          <w:rFonts w:hint="default" w:ascii="Times New Roman" w:hAnsi="Times New Roman" w:eastAsia="宋体" w:cs="Times New Roman"/>
          <w:color w:val="auto"/>
          <w:kern w:val="2"/>
          <w:sz w:val="24"/>
          <w:szCs w:val="24"/>
          <w:vertAlign w:val="superscript"/>
        </w:rPr>
        <w:t>3</w:t>
      </w:r>
      <w:r>
        <w:rPr>
          <w:rFonts w:hint="eastAsia" w:ascii="宋体" w:hAnsi="宋体" w:eastAsia="宋体" w:cs="宋体"/>
          <w:color w:val="auto"/>
          <w:kern w:val="2"/>
          <w:sz w:val="24"/>
          <w:szCs w:val="24"/>
        </w:rPr>
        <w:t>）</w:t>
      </w:r>
      <w:r>
        <w:rPr>
          <w:rFonts w:hint="eastAsia" w:ascii="宋体" w:hAnsi="宋体" w:eastAsia="宋体" w:cs="宋体"/>
          <w:color w:val="auto"/>
          <w:kern w:val="2"/>
          <w:sz w:val="24"/>
          <w:szCs w:val="24"/>
          <w:highlight w:val="none"/>
          <w:lang w:val="en-US" w:eastAsia="zh-CN" w:bidi="ar"/>
        </w:rPr>
        <w:t>。</w:t>
      </w:r>
    </w:p>
    <w:p w14:paraId="7B4072D2">
      <w:pPr>
        <w:pStyle w:val="9"/>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宋体" w:hAnsi="宋体" w:eastAsia="宋体" w:cs="宋体"/>
          <w:color w:val="auto"/>
          <w:kern w:val="2"/>
          <w:sz w:val="24"/>
          <w:szCs w:val="24"/>
          <w:highlight w:val="none"/>
          <w:lang w:val="en-US" w:eastAsia="zh-CN"/>
        </w:rPr>
        <w:t>项目验收监测期间，由检测结果可知</w:t>
      </w: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rPr>
        <w:t>本项目厂界颗粒物、非甲烷总烃无组织排放浓度满足《大气污染物综合排放标准》（</w:t>
      </w:r>
      <w:r>
        <w:rPr>
          <w:rFonts w:hint="default" w:ascii="Times New Roman" w:hAnsi="Times New Roman" w:eastAsia="宋体" w:cs="Times New Roman"/>
          <w:color w:val="auto"/>
          <w:kern w:val="2"/>
          <w:sz w:val="24"/>
          <w:szCs w:val="24"/>
        </w:rPr>
        <w:t>GB16297-1996</w:t>
      </w:r>
      <w:r>
        <w:rPr>
          <w:rFonts w:hint="eastAsia" w:ascii="宋体" w:hAnsi="宋体" w:eastAsia="宋体" w:cs="宋体"/>
          <w:color w:val="auto"/>
          <w:kern w:val="2"/>
          <w:sz w:val="24"/>
          <w:szCs w:val="24"/>
        </w:rPr>
        <w:t>）表</w:t>
      </w:r>
      <w:r>
        <w:rPr>
          <w:rFonts w:hint="default" w:ascii="Times New Roman" w:hAnsi="Times New Roman" w:eastAsia="宋体" w:cs="Times New Roman"/>
          <w:color w:val="auto"/>
          <w:kern w:val="2"/>
          <w:sz w:val="24"/>
          <w:szCs w:val="24"/>
        </w:rPr>
        <w:t>2</w:t>
      </w:r>
      <w:r>
        <w:rPr>
          <w:rFonts w:hint="eastAsia" w:ascii="宋体" w:hAnsi="宋体" w:eastAsia="宋体" w:cs="宋体"/>
          <w:color w:val="auto"/>
          <w:kern w:val="2"/>
          <w:sz w:val="24"/>
          <w:szCs w:val="24"/>
        </w:rPr>
        <w:t>中的无组织浓度限值；非甲烷总烃厂区内无组织排放浓度满足《挥发性有机物无组织排放控制标准》（</w:t>
      </w:r>
      <w:r>
        <w:rPr>
          <w:rFonts w:hint="default" w:ascii="Times New Roman" w:hAnsi="Times New Roman" w:eastAsia="宋体" w:cs="Times New Roman"/>
          <w:color w:val="auto"/>
          <w:kern w:val="2"/>
          <w:sz w:val="24"/>
          <w:szCs w:val="24"/>
        </w:rPr>
        <w:t>GB37822-2019</w:t>
      </w:r>
      <w:r>
        <w:rPr>
          <w:rFonts w:hint="eastAsia" w:ascii="宋体" w:hAnsi="宋体" w:eastAsia="宋体" w:cs="宋体"/>
          <w:color w:val="auto"/>
          <w:kern w:val="2"/>
          <w:sz w:val="24"/>
          <w:szCs w:val="24"/>
        </w:rPr>
        <w:t>）表</w:t>
      </w:r>
      <w:r>
        <w:rPr>
          <w:rFonts w:hint="default" w:ascii="Times New Roman" w:hAnsi="Times New Roman" w:eastAsia="宋体" w:cs="Times New Roman"/>
          <w:color w:val="auto"/>
          <w:kern w:val="2"/>
          <w:sz w:val="24"/>
          <w:szCs w:val="24"/>
        </w:rPr>
        <w:t>A.1</w:t>
      </w:r>
      <w:r>
        <w:rPr>
          <w:rFonts w:hint="eastAsia" w:ascii="宋体" w:hAnsi="宋体" w:eastAsia="宋体" w:cs="宋体"/>
          <w:color w:val="auto"/>
          <w:kern w:val="2"/>
          <w:sz w:val="24"/>
          <w:szCs w:val="24"/>
        </w:rPr>
        <w:t>中的特别排放限值</w:t>
      </w:r>
      <w:r>
        <w:rPr>
          <w:rFonts w:hint="eastAsia" w:ascii="宋体" w:hAnsi="宋体" w:eastAsia="宋体" w:cs="宋体"/>
          <w:color w:val="auto"/>
          <w:kern w:val="2"/>
          <w:sz w:val="24"/>
          <w:szCs w:val="24"/>
          <w:highlight w:val="none"/>
        </w:rPr>
        <w:t>。</w:t>
      </w:r>
    </w:p>
    <w:p w14:paraId="11A88594">
      <w:pPr>
        <w:pStyle w:val="9"/>
        <w:spacing w:line="360" w:lineRule="auto"/>
        <w:ind w:firstLine="480" w:firstLineChars="200"/>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综上，说明本项目采取的废气处理设施合理。</w:t>
      </w:r>
    </w:p>
    <w:p w14:paraId="46FF7F0E">
      <w:pPr>
        <w:pStyle w:val="9"/>
        <w:spacing w:line="360" w:lineRule="auto"/>
        <w:ind w:firstLine="360" w:firstLineChars="150"/>
        <w:rPr>
          <w:rFonts w:ascii="Times New Roman" w:hAnsi="Times New Roman" w:eastAsia="宋体" w:cs="Times New Roman"/>
          <w:color w:val="auto"/>
          <w:sz w:val="24"/>
          <w:szCs w:val="32"/>
          <w:highlight w:val="none"/>
        </w:rPr>
      </w:pPr>
      <w:r>
        <w:rPr>
          <w:rFonts w:ascii="Times New Roman" w:hAnsi="Times New Roman" w:eastAsia="宋体" w:cs="Times New Roman"/>
          <w:color w:val="auto"/>
          <w:sz w:val="24"/>
          <w:szCs w:val="32"/>
          <w:highlight w:val="none"/>
        </w:rPr>
        <w:t>（</w:t>
      </w:r>
      <w:r>
        <w:rPr>
          <w:rFonts w:hint="eastAsia" w:ascii="Times New Roman" w:hAnsi="Times New Roman" w:cs="Times New Roman"/>
          <w:color w:val="auto"/>
          <w:sz w:val="24"/>
          <w:szCs w:val="32"/>
          <w:highlight w:val="none"/>
          <w:lang w:val="en-US" w:eastAsia="zh-CN"/>
        </w:rPr>
        <w:t>3</w:t>
      </w:r>
      <w:r>
        <w:rPr>
          <w:rFonts w:ascii="Times New Roman" w:hAnsi="Times New Roman" w:eastAsia="宋体" w:cs="Times New Roman"/>
          <w:color w:val="auto"/>
          <w:sz w:val="24"/>
          <w:szCs w:val="32"/>
          <w:highlight w:val="none"/>
        </w:rPr>
        <w:t>）厂界噪声治理设施</w:t>
      </w:r>
    </w:p>
    <w:p w14:paraId="01E842FC">
      <w:pPr>
        <w:pStyle w:val="9"/>
        <w:spacing w:line="360" w:lineRule="auto"/>
        <w:ind w:firstLine="480" w:firstLineChars="200"/>
        <w:rPr>
          <w:rFonts w:hint="eastAsia" w:ascii="Times New Roman" w:hAnsi="Times New Roman"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bidi="ar"/>
        </w:rPr>
        <w:t>项目验收监测期间，由检测结果可知，本项目南侧厂界昼间噪声排放满足《工业企业厂界环境噪声排放标准》（GB12348-2008）中的4类标准，其余各侧厂界昼间噪声排放满足《工业企业厂界环境噪声排放标准》（GB12348-2008）中的3类标准</w:t>
      </w:r>
      <w:r>
        <w:rPr>
          <w:rFonts w:hint="eastAsia" w:ascii="Times New Roman" w:hAnsi="Times New Roman" w:cs="Times New Roman"/>
          <w:color w:val="auto"/>
          <w:sz w:val="24"/>
          <w:highlight w:val="none"/>
          <w:lang w:val="en-US" w:eastAsia="zh-CN"/>
        </w:rPr>
        <w:t>。</w:t>
      </w:r>
    </w:p>
    <w:p w14:paraId="05051E1C">
      <w:pPr>
        <w:pStyle w:val="9"/>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综上，说明本项目采取的噪声防治措施合理。</w:t>
      </w:r>
    </w:p>
    <w:p w14:paraId="7AE0DB24">
      <w:pPr>
        <w:pStyle w:val="9"/>
        <w:spacing w:line="360" w:lineRule="auto"/>
        <w:ind w:firstLine="360" w:firstLineChars="150"/>
        <w:rPr>
          <w:rFonts w:ascii="Times New Roman" w:hAnsi="Times New Roman" w:eastAsia="宋体" w:cs="Times New Roman"/>
          <w:color w:val="auto"/>
          <w:sz w:val="24"/>
          <w:szCs w:val="32"/>
          <w:highlight w:val="none"/>
        </w:rPr>
      </w:pPr>
      <w:r>
        <w:rPr>
          <w:rFonts w:ascii="Times New Roman" w:hAnsi="Times New Roman" w:eastAsia="宋体" w:cs="Times New Roman"/>
          <w:color w:val="auto"/>
          <w:sz w:val="24"/>
          <w:szCs w:val="32"/>
          <w:highlight w:val="none"/>
        </w:rPr>
        <w:t>（</w:t>
      </w:r>
      <w:r>
        <w:rPr>
          <w:rFonts w:hint="eastAsia" w:ascii="Times New Roman" w:hAnsi="Times New Roman" w:cs="Times New Roman"/>
          <w:color w:val="auto"/>
          <w:sz w:val="24"/>
          <w:szCs w:val="32"/>
          <w:highlight w:val="none"/>
          <w:lang w:val="en-US" w:eastAsia="zh-CN"/>
        </w:rPr>
        <w:t>4</w:t>
      </w:r>
      <w:r>
        <w:rPr>
          <w:rFonts w:ascii="Times New Roman" w:hAnsi="Times New Roman" w:eastAsia="宋体" w:cs="Times New Roman"/>
          <w:color w:val="auto"/>
          <w:sz w:val="24"/>
          <w:szCs w:val="32"/>
          <w:highlight w:val="none"/>
        </w:rPr>
        <w:t>）固体废物治理设施</w:t>
      </w:r>
    </w:p>
    <w:p w14:paraId="1F743653">
      <w:pPr>
        <w:pStyle w:val="9"/>
        <w:spacing w:line="360" w:lineRule="auto"/>
        <w:ind w:firstLine="360" w:firstLineChars="150"/>
        <w:rPr>
          <w:rFonts w:ascii="Times New Roman" w:hAnsi="Times New Roman" w:eastAsia="宋体" w:cs="Times New Roman"/>
          <w:color w:val="auto"/>
          <w:sz w:val="24"/>
          <w:szCs w:val="32"/>
          <w:highlight w:val="none"/>
        </w:rPr>
      </w:pPr>
      <w:r>
        <w:rPr>
          <w:rFonts w:hint="eastAsia" w:ascii="Times New Roman" w:hAnsi="Times New Roman" w:cs="Times New Roman"/>
          <w:color w:val="auto"/>
          <w:sz w:val="24"/>
          <w:szCs w:val="32"/>
          <w:highlight w:val="none"/>
          <w:lang w:val="en-US" w:eastAsia="zh-CN"/>
        </w:rPr>
        <w:t>本</w:t>
      </w:r>
      <w:r>
        <w:rPr>
          <w:rFonts w:ascii="Times New Roman" w:hAnsi="Times New Roman" w:eastAsia="宋体" w:cs="Times New Roman"/>
          <w:color w:val="auto"/>
          <w:sz w:val="24"/>
          <w:szCs w:val="32"/>
          <w:highlight w:val="none"/>
        </w:rPr>
        <w:t>项目固废均委托外单位进行处置，自身不配备</w:t>
      </w:r>
      <w:r>
        <w:rPr>
          <w:rFonts w:hint="eastAsia" w:ascii="Times New Roman" w:hAnsi="Times New Roman" w:cs="Times New Roman"/>
          <w:color w:val="auto"/>
          <w:sz w:val="24"/>
          <w:szCs w:val="32"/>
          <w:highlight w:val="none"/>
          <w:lang w:eastAsia="zh-CN"/>
        </w:rPr>
        <w:t>固体废物处理</w:t>
      </w:r>
      <w:r>
        <w:rPr>
          <w:rFonts w:ascii="Times New Roman" w:hAnsi="Times New Roman" w:eastAsia="宋体" w:cs="Times New Roman"/>
          <w:color w:val="auto"/>
          <w:sz w:val="24"/>
          <w:szCs w:val="32"/>
          <w:highlight w:val="none"/>
        </w:rPr>
        <w:t>设施。</w:t>
      </w:r>
      <w:r>
        <w:rPr>
          <w:rFonts w:hint="default" w:ascii="Times New Roman" w:hAnsi="Times New Roman" w:eastAsia="宋体" w:cs="Times New Roman"/>
          <w:color w:val="auto"/>
          <w:sz w:val="24"/>
          <w:szCs w:val="32"/>
          <w:highlight w:val="none"/>
          <w:lang w:val="en-US" w:eastAsia="zh-CN"/>
        </w:rPr>
        <w:t>生活垃圾</w:t>
      </w:r>
      <w:r>
        <w:rPr>
          <w:rFonts w:hint="eastAsia" w:ascii="Times New Roman" w:hAnsi="Times New Roman" w:eastAsia="宋体" w:cs="Times New Roman"/>
          <w:color w:val="auto"/>
          <w:sz w:val="24"/>
          <w:szCs w:val="32"/>
          <w:highlight w:val="none"/>
          <w:lang w:val="en-US" w:eastAsia="zh-CN"/>
        </w:rPr>
        <w:t>、食堂固废</w:t>
      </w:r>
      <w:r>
        <w:rPr>
          <w:rFonts w:hint="default" w:ascii="Times New Roman" w:hAnsi="Times New Roman" w:eastAsia="宋体" w:cs="Times New Roman"/>
          <w:color w:val="auto"/>
          <w:sz w:val="24"/>
          <w:szCs w:val="32"/>
          <w:highlight w:val="none"/>
          <w:lang w:val="en-US" w:eastAsia="zh-CN"/>
        </w:rPr>
        <w:t>集中收集后由当地环卫部门清运；收集的粉尘及金属屑、废边角料、沉渣、不合格品、废PVC热收缩套管膜、废布袋集中收集后委托湖州然兮新材料科技有限公司收运；收集的含乳化液粉尘及金属屑</w:t>
      </w:r>
      <w:r>
        <w:rPr>
          <w:rFonts w:hint="eastAsia" w:ascii="Times New Roman" w:hAnsi="Times New Roman" w:eastAsia="宋体" w:cs="Times New Roman"/>
          <w:color w:val="auto"/>
          <w:sz w:val="24"/>
          <w:szCs w:val="32"/>
          <w:highlight w:val="none"/>
          <w:lang w:val="en-US" w:eastAsia="zh-CN"/>
        </w:rPr>
        <w:t>集中收集经压滤无油后委托湖州然兮新材料科技有限公司收运；</w:t>
      </w:r>
      <w:r>
        <w:rPr>
          <w:rFonts w:hint="default" w:ascii="Times New Roman" w:hAnsi="Times New Roman" w:eastAsia="宋体" w:cs="Times New Roman"/>
          <w:color w:val="auto"/>
          <w:sz w:val="24"/>
          <w:szCs w:val="32"/>
          <w:highlight w:val="none"/>
          <w:lang w:val="en-US" w:eastAsia="zh-CN"/>
        </w:rPr>
        <w:t>废机油、废机油桶、废润滑油、废润滑油桶、废乳化液、废乳化液桶、废油集中收集后委托安吉纳海环境有限公司进行处理处置</w:t>
      </w:r>
      <w:r>
        <w:rPr>
          <w:rFonts w:hint="eastAsia" w:ascii="Times New Roman" w:hAnsi="Times New Roman" w:cs="Times New Roman"/>
          <w:color w:val="auto"/>
          <w:sz w:val="24"/>
          <w:szCs w:val="32"/>
          <w:highlight w:val="none"/>
          <w:lang w:val="en-US" w:eastAsia="zh-CN"/>
        </w:rPr>
        <w:t>。</w:t>
      </w:r>
    </w:p>
    <w:p w14:paraId="5D43091E">
      <w:pPr>
        <w:pStyle w:val="9"/>
        <w:spacing w:line="360" w:lineRule="auto"/>
        <w:ind w:firstLine="360" w:firstLineChars="150"/>
        <w:rPr>
          <w:rFonts w:ascii="Times New Roman" w:hAnsi="Times New Roman" w:eastAsia="宋体" w:cs="Times New Roman"/>
          <w:color w:val="auto"/>
          <w:sz w:val="24"/>
          <w:szCs w:val="32"/>
          <w:highlight w:val="none"/>
        </w:rPr>
      </w:pPr>
      <w:r>
        <w:rPr>
          <w:rFonts w:ascii="Times New Roman" w:hAnsi="Times New Roman" w:eastAsia="宋体" w:cs="Times New Roman"/>
          <w:color w:val="auto"/>
          <w:sz w:val="24"/>
          <w:szCs w:val="32"/>
          <w:highlight w:val="none"/>
        </w:rPr>
        <w:t>（二）污染物排放情况</w:t>
      </w:r>
    </w:p>
    <w:p w14:paraId="41BDCA28">
      <w:pPr>
        <w:keepNext w:val="0"/>
        <w:keepLines w:val="0"/>
        <w:pageBreakBefore w:val="0"/>
        <w:widowControl w:val="0"/>
        <w:kinsoku/>
        <w:wordWrap/>
        <w:overflowPunct/>
        <w:topLinePunct w:val="0"/>
        <w:autoSpaceDN/>
        <w:bidi w:val="0"/>
        <w:adjustRightInd/>
        <w:snapToGrid/>
        <w:spacing w:line="360" w:lineRule="auto"/>
        <w:ind w:firstLine="480" w:firstLineChars="200"/>
        <w:textAlignment w:val="auto"/>
        <w:rPr>
          <w:rFonts w:ascii="Times New Roman" w:hAnsi="Times New Roman" w:eastAsia="宋体"/>
          <w:color w:val="auto"/>
          <w:kern w:val="0"/>
          <w:sz w:val="24"/>
          <w:highlight w:val="none"/>
        </w:rPr>
      </w:pPr>
      <w:r>
        <w:rPr>
          <w:rFonts w:hint="eastAsia" w:ascii="Times New Roman" w:hAnsi="Times New Roman" w:eastAsia="宋体"/>
          <w:color w:val="auto"/>
          <w:kern w:val="0"/>
          <w:sz w:val="24"/>
          <w:highlight w:val="none"/>
          <w:lang w:eastAsia="zh-CN"/>
        </w:rPr>
        <w:t>（</w:t>
      </w:r>
      <w:r>
        <w:rPr>
          <w:rFonts w:hint="eastAsia" w:ascii="Times New Roman" w:hAnsi="Times New Roman" w:eastAsia="宋体"/>
          <w:color w:val="auto"/>
          <w:kern w:val="0"/>
          <w:sz w:val="24"/>
          <w:highlight w:val="none"/>
          <w:lang w:val="en-US" w:eastAsia="zh-CN"/>
        </w:rPr>
        <w:t>1</w:t>
      </w:r>
      <w:r>
        <w:rPr>
          <w:rFonts w:hint="eastAsia" w:ascii="Times New Roman" w:hAnsi="Times New Roman" w:eastAsia="宋体"/>
          <w:color w:val="auto"/>
          <w:kern w:val="0"/>
          <w:sz w:val="24"/>
          <w:highlight w:val="none"/>
          <w:lang w:eastAsia="zh-CN"/>
        </w:rPr>
        <w:t>）</w:t>
      </w:r>
      <w:r>
        <w:rPr>
          <w:rFonts w:ascii="Times New Roman" w:hAnsi="Times New Roman" w:eastAsia="宋体"/>
          <w:color w:val="auto"/>
          <w:kern w:val="0"/>
          <w:sz w:val="24"/>
          <w:highlight w:val="none"/>
        </w:rPr>
        <w:t>废水污染物排放评价</w:t>
      </w:r>
    </w:p>
    <w:p w14:paraId="69FDFE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验收监测期间，由检测结果可知，本项目生活污水排放口中pH值、化学需氧量、氨氮、动植物油排放浓度满足区域城镇污水处理厂的纳管进水标准（即pH值6-9、化学需氧量≤500mg/L、氨氮≤45mg/L、动植物油≤100mg/L）。</w:t>
      </w:r>
    </w:p>
    <w:p w14:paraId="264715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olor w:val="auto"/>
          <w:kern w:val="0"/>
          <w:sz w:val="24"/>
          <w:highlight w:val="none"/>
        </w:rPr>
      </w:pPr>
      <w:r>
        <w:rPr>
          <w:rFonts w:hint="eastAsia" w:ascii="Times New Roman" w:hAnsi="Times New Roman" w:cs="Times New Roman"/>
          <w:color w:val="auto"/>
          <w:sz w:val="24"/>
          <w:szCs w:val="32"/>
          <w:highlight w:val="none"/>
          <w:lang w:eastAsia="zh-CN"/>
        </w:rPr>
        <w:t>（</w:t>
      </w:r>
      <w:r>
        <w:rPr>
          <w:rFonts w:hint="eastAsia" w:ascii="Times New Roman" w:hAnsi="Times New Roman" w:cs="Times New Roman"/>
          <w:color w:val="auto"/>
          <w:sz w:val="24"/>
          <w:szCs w:val="32"/>
          <w:highlight w:val="none"/>
          <w:lang w:val="en-US" w:eastAsia="zh-CN"/>
        </w:rPr>
        <w:t>2</w:t>
      </w:r>
      <w:r>
        <w:rPr>
          <w:rFonts w:hint="eastAsia" w:ascii="Times New Roman" w:hAnsi="Times New Roman" w:cs="Times New Roman"/>
          <w:color w:val="auto"/>
          <w:sz w:val="24"/>
          <w:szCs w:val="32"/>
          <w:highlight w:val="none"/>
          <w:lang w:eastAsia="zh-CN"/>
        </w:rPr>
        <w:t>）</w:t>
      </w:r>
      <w:r>
        <w:rPr>
          <w:rFonts w:ascii="Times New Roman" w:hAnsi="Times New Roman" w:eastAsia="宋体"/>
          <w:color w:val="auto"/>
          <w:kern w:val="0"/>
          <w:sz w:val="24"/>
          <w:highlight w:val="none"/>
        </w:rPr>
        <w:t>废气污染物排放评价</w:t>
      </w:r>
    </w:p>
    <w:p w14:paraId="6B87014D">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项目验收监测期间，由检测结果可知，</w:t>
      </w:r>
      <w:r>
        <w:rPr>
          <w:rFonts w:hint="eastAsia" w:ascii="宋体" w:hAnsi="宋体" w:eastAsia="宋体" w:cs="宋体"/>
          <w:color w:val="auto"/>
          <w:kern w:val="2"/>
          <w:sz w:val="24"/>
          <w:szCs w:val="24"/>
        </w:rPr>
        <w:t>本项目直缝高频焊接烟尘、乳化液受热废气、刮刀粉尘中颗粒物和非甲烷总烃有组织排放浓度满足《大气污染物综合排放标准》（</w:t>
      </w:r>
      <w:r>
        <w:rPr>
          <w:rFonts w:hint="default" w:ascii="Times New Roman" w:hAnsi="Times New Roman" w:eastAsia="宋体" w:cs="Times New Roman"/>
          <w:color w:val="auto"/>
          <w:kern w:val="2"/>
          <w:sz w:val="24"/>
          <w:szCs w:val="24"/>
        </w:rPr>
        <w:t>GB16297-1996</w:t>
      </w:r>
      <w:r>
        <w:rPr>
          <w:rFonts w:hint="eastAsia" w:ascii="宋体" w:hAnsi="宋体" w:eastAsia="宋体" w:cs="宋体"/>
          <w:color w:val="auto"/>
          <w:kern w:val="2"/>
          <w:sz w:val="24"/>
          <w:szCs w:val="24"/>
        </w:rPr>
        <w:t>）表</w:t>
      </w:r>
      <w:r>
        <w:rPr>
          <w:rFonts w:hint="default" w:ascii="Times New Roman" w:hAnsi="Times New Roman" w:eastAsia="宋体" w:cs="Times New Roman"/>
          <w:color w:val="auto"/>
          <w:kern w:val="2"/>
          <w:sz w:val="24"/>
          <w:szCs w:val="24"/>
        </w:rPr>
        <w:t>2</w:t>
      </w:r>
      <w:r>
        <w:rPr>
          <w:rFonts w:hint="eastAsia" w:ascii="宋体" w:hAnsi="宋体" w:eastAsia="宋体" w:cs="宋体"/>
          <w:color w:val="auto"/>
          <w:kern w:val="2"/>
          <w:sz w:val="24"/>
          <w:szCs w:val="24"/>
        </w:rPr>
        <w:t>中的“新污染源，二级标准”（即颗粒物≤</w:t>
      </w:r>
      <w:r>
        <w:rPr>
          <w:rFonts w:hint="default" w:ascii="Times New Roman" w:hAnsi="Times New Roman" w:eastAsia="宋体" w:cs="Times New Roman"/>
          <w:color w:val="auto"/>
          <w:kern w:val="2"/>
          <w:sz w:val="24"/>
          <w:szCs w:val="24"/>
        </w:rPr>
        <w:t>120</w:t>
      </w:r>
      <w:r>
        <w:rPr>
          <w:rFonts w:hint="default" w:ascii="Times New Roman" w:hAnsi="Times New Roman" w:eastAsia="宋体" w:cs="Times New Roman"/>
          <w:b w:val="0"/>
          <w:bCs w:val="0"/>
          <w:color w:val="auto"/>
          <w:kern w:val="2"/>
          <w:sz w:val="24"/>
          <w:szCs w:val="24"/>
        </w:rPr>
        <w:t>mg/m</w:t>
      </w:r>
      <w:r>
        <w:rPr>
          <w:rFonts w:hint="default" w:ascii="Times New Roman" w:hAnsi="Times New Roman" w:eastAsia="宋体" w:cs="Times New Roman"/>
          <w:b w:val="0"/>
          <w:bCs w:val="0"/>
          <w:color w:val="auto"/>
          <w:kern w:val="2"/>
          <w:sz w:val="24"/>
          <w:szCs w:val="24"/>
          <w:vertAlign w:val="superscript"/>
        </w:rPr>
        <w:t>3</w:t>
      </w:r>
      <w:r>
        <w:rPr>
          <w:rFonts w:hint="eastAsia" w:ascii="宋体" w:hAnsi="宋体" w:eastAsia="宋体" w:cs="宋体"/>
          <w:b w:val="0"/>
          <w:bCs w:val="0"/>
          <w:color w:val="auto"/>
          <w:kern w:val="2"/>
          <w:sz w:val="24"/>
          <w:szCs w:val="24"/>
        </w:rPr>
        <w:t>、非甲烷总烃≤</w:t>
      </w:r>
      <w:r>
        <w:rPr>
          <w:rFonts w:hint="default" w:ascii="Times New Roman" w:hAnsi="Times New Roman" w:eastAsia="宋体" w:cs="Times New Roman"/>
          <w:b w:val="0"/>
          <w:bCs w:val="0"/>
          <w:color w:val="auto"/>
          <w:kern w:val="2"/>
          <w:sz w:val="24"/>
          <w:szCs w:val="24"/>
        </w:rPr>
        <w:t>120mg/m</w:t>
      </w:r>
      <w:r>
        <w:rPr>
          <w:rFonts w:hint="default" w:ascii="Times New Roman" w:hAnsi="Times New Roman" w:eastAsia="宋体" w:cs="Times New Roman"/>
          <w:b w:val="0"/>
          <w:bCs w:val="0"/>
          <w:color w:val="auto"/>
          <w:kern w:val="2"/>
          <w:sz w:val="24"/>
          <w:szCs w:val="24"/>
          <w:vertAlign w:val="superscript"/>
        </w:rPr>
        <w:t>3</w:t>
      </w:r>
      <w:r>
        <w:rPr>
          <w:rFonts w:hint="eastAsia" w:ascii="宋体" w:hAnsi="宋体" w:eastAsia="宋体" w:cs="宋体"/>
          <w:color w:val="auto"/>
          <w:kern w:val="2"/>
          <w:sz w:val="24"/>
          <w:szCs w:val="24"/>
        </w:rPr>
        <w:t>）；抛光粉尘中颗粒物有组织排放浓度满足《大气污染物综合排放标准》（</w:t>
      </w:r>
      <w:r>
        <w:rPr>
          <w:rFonts w:hint="default" w:ascii="Times New Roman" w:hAnsi="Times New Roman" w:eastAsia="宋体" w:cs="Times New Roman"/>
          <w:color w:val="auto"/>
          <w:kern w:val="2"/>
          <w:sz w:val="24"/>
          <w:szCs w:val="24"/>
        </w:rPr>
        <w:t>GB16297-1996</w:t>
      </w:r>
      <w:r>
        <w:rPr>
          <w:rFonts w:hint="eastAsia" w:ascii="宋体" w:hAnsi="宋体" w:eastAsia="宋体" w:cs="宋体"/>
          <w:color w:val="auto"/>
          <w:kern w:val="2"/>
          <w:sz w:val="24"/>
          <w:szCs w:val="24"/>
        </w:rPr>
        <w:t>）表</w:t>
      </w:r>
      <w:r>
        <w:rPr>
          <w:rFonts w:hint="default" w:ascii="Times New Roman" w:hAnsi="Times New Roman" w:eastAsia="宋体" w:cs="Times New Roman"/>
          <w:color w:val="auto"/>
          <w:kern w:val="2"/>
          <w:sz w:val="24"/>
          <w:szCs w:val="24"/>
        </w:rPr>
        <w:t>2</w:t>
      </w:r>
      <w:r>
        <w:rPr>
          <w:rFonts w:hint="eastAsia" w:ascii="宋体" w:hAnsi="宋体" w:eastAsia="宋体" w:cs="宋体"/>
          <w:color w:val="auto"/>
          <w:kern w:val="2"/>
          <w:sz w:val="24"/>
          <w:szCs w:val="24"/>
        </w:rPr>
        <w:t>中的“新污染源，二级标准”（即颗粒物≤</w:t>
      </w:r>
      <w:r>
        <w:rPr>
          <w:rFonts w:hint="default" w:ascii="Times New Roman" w:hAnsi="Times New Roman" w:eastAsia="宋体" w:cs="Times New Roman"/>
          <w:color w:val="auto"/>
          <w:kern w:val="2"/>
          <w:sz w:val="24"/>
          <w:szCs w:val="24"/>
        </w:rPr>
        <w:t>120</w:t>
      </w:r>
      <w:r>
        <w:rPr>
          <w:rFonts w:hint="default" w:ascii="Times New Roman" w:hAnsi="Times New Roman" w:eastAsia="宋体" w:cs="Times New Roman"/>
          <w:b w:val="0"/>
          <w:bCs w:val="0"/>
          <w:color w:val="auto"/>
          <w:kern w:val="2"/>
          <w:sz w:val="24"/>
          <w:szCs w:val="24"/>
        </w:rPr>
        <w:t>mg/m</w:t>
      </w:r>
      <w:r>
        <w:rPr>
          <w:rFonts w:hint="default" w:ascii="Times New Roman" w:hAnsi="Times New Roman" w:eastAsia="宋体" w:cs="Times New Roman"/>
          <w:b w:val="0"/>
          <w:bCs w:val="0"/>
          <w:color w:val="auto"/>
          <w:kern w:val="2"/>
          <w:sz w:val="24"/>
          <w:szCs w:val="24"/>
          <w:vertAlign w:val="superscript"/>
        </w:rPr>
        <w:t>3</w:t>
      </w:r>
      <w:r>
        <w:rPr>
          <w:rFonts w:hint="eastAsia" w:ascii="宋体" w:hAnsi="宋体" w:eastAsia="宋体" w:cs="宋体"/>
          <w:color w:val="auto"/>
          <w:kern w:val="2"/>
          <w:sz w:val="24"/>
          <w:szCs w:val="24"/>
        </w:rPr>
        <w:t>）；食堂油烟废气中油烟有组织排放浓度满足《饮食业油烟排放标准（试行）》（</w:t>
      </w:r>
      <w:r>
        <w:rPr>
          <w:rFonts w:hint="default" w:ascii="Times New Roman" w:hAnsi="Times New Roman" w:eastAsia="宋体" w:cs="Times New Roman"/>
          <w:color w:val="auto"/>
          <w:kern w:val="2"/>
          <w:sz w:val="24"/>
          <w:szCs w:val="24"/>
        </w:rPr>
        <w:t>GB18483-2001</w:t>
      </w:r>
      <w:r>
        <w:rPr>
          <w:rFonts w:hint="eastAsia" w:ascii="宋体" w:hAnsi="宋体" w:eastAsia="宋体" w:cs="宋体"/>
          <w:color w:val="auto"/>
          <w:kern w:val="2"/>
          <w:sz w:val="24"/>
          <w:szCs w:val="24"/>
        </w:rPr>
        <w:t>）中的中型规模标准（即油烟≤</w:t>
      </w:r>
      <w:r>
        <w:rPr>
          <w:rFonts w:hint="default" w:ascii="Times New Roman" w:hAnsi="Times New Roman" w:eastAsia="宋体" w:cs="Times New Roman"/>
          <w:color w:val="auto"/>
          <w:kern w:val="2"/>
          <w:sz w:val="24"/>
          <w:szCs w:val="24"/>
        </w:rPr>
        <w:t>2.0mg/m</w:t>
      </w:r>
      <w:r>
        <w:rPr>
          <w:rFonts w:hint="default" w:ascii="Times New Roman" w:hAnsi="Times New Roman" w:eastAsia="宋体" w:cs="Times New Roman"/>
          <w:color w:val="auto"/>
          <w:kern w:val="2"/>
          <w:sz w:val="24"/>
          <w:szCs w:val="24"/>
          <w:vertAlign w:val="superscript"/>
        </w:rPr>
        <w:t>3</w:t>
      </w:r>
      <w:r>
        <w:rPr>
          <w:rFonts w:hint="eastAsia" w:ascii="宋体" w:hAnsi="宋体" w:eastAsia="宋体" w:cs="宋体"/>
          <w:color w:val="auto"/>
          <w:kern w:val="2"/>
          <w:sz w:val="24"/>
          <w:szCs w:val="24"/>
        </w:rPr>
        <w:t>）</w:t>
      </w:r>
      <w:r>
        <w:rPr>
          <w:rFonts w:hint="default" w:ascii="Times New Roman" w:hAnsi="Times New Roman" w:eastAsia="宋体" w:cs="Times New Roman"/>
          <w:color w:val="auto"/>
          <w:kern w:val="2"/>
          <w:sz w:val="24"/>
          <w:szCs w:val="24"/>
          <w:highlight w:val="none"/>
          <w:lang w:val="en-US" w:eastAsia="zh-CN" w:bidi="ar-SA"/>
        </w:rPr>
        <w:t>。</w:t>
      </w:r>
    </w:p>
    <w:p w14:paraId="2FA328C7">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项目验收监测期间，由检测结果可知，本项目厂界颗粒物、非甲烷总烃无组织排放浓度满足《大气污染物综合排放标准》（GB16297-1996）表2中的无组织浓度限值；非甲烷总烃厂区内无组织排放浓度满足《挥发性有机物无组织排放控制标准》（GB37822-2019）表A.1中的特别排放限值。</w:t>
      </w:r>
    </w:p>
    <w:p w14:paraId="78F6278C">
      <w:pPr>
        <w:pStyle w:val="6"/>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ascii="Times New Roman" w:hAnsi="Times New Roman" w:eastAsia="宋体" w:cs="Times New Roman"/>
          <w:color w:val="auto"/>
          <w:sz w:val="24"/>
          <w:szCs w:val="32"/>
          <w:highlight w:val="none"/>
        </w:rPr>
      </w:pPr>
      <w:r>
        <w:rPr>
          <w:rFonts w:ascii="Times New Roman" w:hAnsi="Times New Roman" w:eastAsia="宋体"/>
          <w:color w:val="auto"/>
          <w:sz w:val="24"/>
          <w:szCs w:val="32"/>
          <w:highlight w:val="none"/>
        </w:rPr>
        <w:t>（</w:t>
      </w:r>
      <w:r>
        <w:rPr>
          <w:rFonts w:ascii="Times New Roman" w:hAnsi="Times New Roman" w:eastAsia="宋体"/>
          <w:color w:val="auto"/>
          <w:kern w:val="0"/>
          <w:sz w:val="24"/>
          <w:highlight w:val="none"/>
        </w:rPr>
        <w:t>3）</w:t>
      </w:r>
      <w:r>
        <w:rPr>
          <w:rFonts w:ascii="Times New Roman" w:hAnsi="Times New Roman" w:eastAsia="宋体" w:cs="Times New Roman"/>
          <w:color w:val="auto"/>
          <w:sz w:val="24"/>
          <w:szCs w:val="32"/>
          <w:highlight w:val="none"/>
        </w:rPr>
        <w:t>噪声污染物排放评价</w:t>
      </w:r>
    </w:p>
    <w:p w14:paraId="401A0A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olor w:val="auto"/>
          <w:kern w:val="0"/>
          <w:sz w:val="24"/>
          <w:highlight w:val="none"/>
        </w:rPr>
      </w:pPr>
      <w:r>
        <w:rPr>
          <w:rFonts w:hint="default" w:ascii="Times New Roman" w:hAnsi="Times New Roman" w:eastAsia="宋体"/>
          <w:color w:val="auto"/>
          <w:kern w:val="0"/>
          <w:sz w:val="24"/>
          <w:highlight w:val="none"/>
          <w:lang w:val="en-US" w:eastAsia="zh-CN"/>
        </w:rPr>
        <w:t>项目验收监测期间，由检测结果可知，本项目南侧厂界昼间噪声排放满足《工业企业厂界环境噪声排放标准》（GB12348-2008）中的4类标准，其余各侧厂界昼间噪声排放满足《工业企业厂界环境噪声排放标准》（GB12348-2008）中的3类标准</w:t>
      </w:r>
      <w:r>
        <w:rPr>
          <w:rFonts w:hint="eastAsia" w:ascii="Times New Roman" w:hAnsi="Times New Roman" w:eastAsia="宋体"/>
          <w:color w:val="auto"/>
          <w:kern w:val="0"/>
          <w:sz w:val="24"/>
          <w:highlight w:val="none"/>
          <w:lang w:val="en-US" w:eastAsia="zh-CN"/>
        </w:rPr>
        <w:t>。</w:t>
      </w:r>
    </w:p>
    <w:p w14:paraId="572E50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olor w:val="auto"/>
          <w:kern w:val="0"/>
          <w:sz w:val="24"/>
          <w:highlight w:val="none"/>
        </w:rPr>
      </w:pPr>
      <w:r>
        <w:rPr>
          <w:rFonts w:ascii="Times New Roman" w:hAnsi="Times New Roman" w:eastAsia="宋体"/>
          <w:color w:val="auto"/>
          <w:kern w:val="0"/>
          <w:sz w:val="24"/>
          <w:highlight w:val="none"/>
        </w:rPr>
        <w:t>（4）污染物排放总量</w:t>
      </w:r>
    </w:p>
    <w:p w14:paraId="5B848CDE">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jc w:val="both"/>
        <w:textAlignment w:val="auto"/>
        <w:rPr>
          <w:rFonts w:hint="eastAsia" w:ascii="Times New Roman" w:hAnsi="Times New Roman"/>
          <w:color w:val="auto"/>
          <w:sz w:val="24"/>
          <w:szCs w:val="24"/>
          <w:highlight w:val="none"/>
          <w:lang w:val="en-US" w:eastAsia="zh-CN"/>
        </w:rPr>
      </w:pPr>
      <w:r>
        <w:rPr>
          <w:rFonts w:hint="eastAsia" w:ascii="Times New Roman" w:hAnsi="Times New Roman"/>
          <w:color w:val="auto"/>
          <w:sz w:val="24"/>
          <w:szCs w:val="24"/>
          <w:highlight w:val="none"/>
          <w:lang w:val="en-US" w:eastAsia="zh-CN"/>
        </w:rPr>
        <w:t>一、废水</w:t>
      </w:r>
    </w:p>
    <w:p w14:paraId="2BC28D69">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eastAsia" w:ascii="宋体" w:hAnsi="宋体" w:eastAsia="宋体" w:cs="宋体"/>
          <w:color w:val="auto"/>
          <w:kern w:val="2"/>
          <w:sz w:val="24"/>
          <w:szCs w:val="24"/>
        </w:rPr>
        <w:t>根据原环评文件，本项目废水中纳入总量控制的指标为</w:t>
      </w:r>
      <w:r>
        <w:rPr>
          <w:rFonts w:hint="default" w:ascii="Times New Roman" w:hAnsi="Times New Roman" w:eastAsia="宋体" w:cs="Times New Roman"/>
          <w:color w:val="auto"/>
          <w:kern w:val="2"/>
          <w:sz w:val="24"/>
          <w:szCs w:val="24"/>
        </w:rPr>
        <w:t>COD</w:t>
      </w:r>
      <w:r>
        <w:rPr>
          <w:rFonts w:hint="default" w:ascii="Times New Roman" w:hAnsi="Times New Roman" w:eastAsia="宋体" w:cs="Times New Roman"/>
          <w:color w:val="auto"/>
          <w:kern w:val="2"/>
          <w:sz w:val="24"/>
          <w:szCs w:val="24"/>
          <w:vertAlign w:val="subscript"/>
        </w:rPr>
        <w:t>Cr</w:t>
      </w:r>
      <w:r>
        <w:rPr>
          <w:rFonts w:hint="eastAsia" w:ascii="宋体" w:hAnsi="宋体" w:eastAsia="宋体" w:cs="宋体"/>
          <w:color w:val="auto"/>
          <w:kern w:val="2"/>
          <w:sz w:val="24"/>
          <w:szCs w:val="24"/>
        </w:rPr>
        <w:t>、</w:t>
      </w:r>
      <w:r>
        <w:rPr>
          <w:rFonts w:hint="default" w:ascii="Times New Roman" w:hAnsi="Times New Roman" w:eastAsia="宋体" w:cs="Times New Roman"/>
          <w:color w:val="auto"/>
          <w:kern w:val="2"/>
          <w:sz w:val="24"/>
          <w:szCs w:val="24"/>
        </w:rPr>
        <w:t>NH</w:t>
      </w:r>
      <w:r>
        <w:rPr>
          <w:rFonts w:hint="default" w:ascii="Times New Roman" w:hAnsi="Times New Roman" w:eastAsia="宋体" w:cs="Times New Roman"/>
          <w:color w:val="auto"/>
          <w:kern w:val="2"/>
          <w:sz w:val="24"/>
          <w:szCs w:val="24"/>
          <w:vertAlign w:val="subscript"/>
        </w:rPr>
        <w:t>3</w:t>
      </w:r>
      <w:r>
        <w:rPr>
          <w:rFonts w:hint="default" w:ascii="Times New Roman" w:hAnsi="Times New Roman" w:eastAsia="宋体" w:cs="Times New Roman"/>
          <w:color w:val="auto"/>
          <w:kern w:val="2"/>
          <w:sz w:val="24"/>
          <w:szCs w:val="24"/>
        </w:rPr>
        <w:t>-N</w:t>
      </w:r>
      <w:r>
        <w:rPr>
          <w:rFonts w:hint="eastAsia" w:ascii="宋体" w:hAnsi="宋体" w:eastAsia="宋体" w:cs="宋体"/>
          <w:color w:val="auto"/>
          <w:kern w:val="2"/>
          <w:sz w:val="24"/>
          <w:szCs w:val="24"/>
        </w:rPr>
        <w:t>。本项目间接冷却水循环使用，定期补充损耗；水磨、抛光水循环使用，定期补充损耗和捞渣；水幕除尘装置用水循环使用，定期补充损耗和捞渣。生活污水经隔油池、化粪池预处理后纳管至区域城镇污水处理厂集中处理，排放量为</w:t>
      </w:r>
      <w:r>
        <w:rPr>
          <w:rFonts w:hint="default" w:ascii="Times New Roman" w:hAnsi="Times New Roman" w:eastAsia="宋体" w:cs="Times New Roman"/>
          <w:color w:val="auto"/>
          <w:kern w:val="2"/>
          <w:sz w:val="24"/>
          <w:szCs w:val="24"/>
        </w:rPr>
        <w:t>2868.8t/a</w:t>
      </w:r>
      <w:r>
        <w:rPr>
          <w:rFonts w:hint="eastAsia" w:ascii="宋体" w:hAnsi="宋体" w:eastAsia="宋体" w:cs="宋体"/>
          <w:color w:val="auto"/>
          <w:kern w:val="2"/>
          <w:sz w:val="24"/>
          <w:szCs w:val="24"/>
        </w:rPr>
        <w:t>。区域城镇污水处理厂尾水排放执行《城镇污水处理厂污染物排放标准》（</w:t>
      </w:r>
      <w:r>
        <w:rPr>
          <w:rFonts w:hint="default" w:ascii="Times New Roman" w:hAnsi="Times New Roman" w:eastAsia="宋体" w:cs="Times New Roman"/>
          <w:color w:val="auto"/>
          <w:kern w:val="2"/>
          <w:sz w:val="24"/>
          <w:szCs w:val="24"/>
        </w:rPr>
        <w:t>GB18918-2002</w:t>
      </w:r>
      <w:r>
        <w:rPr>
          <w:rFonts w:hint="eastAsia" w:ascii="宋体" w:hAnsi="宋体" w:eastAsia="宋体" w:cs="宋体"/>
          <w:color w:val="auto"/>
          <w:kern w:val="2"/>
          <w:sz w:val="24"/>
          <w:szCs w:val="24"/>
        </w:rPr>
        <w:t>）中的一级</w:t>
      </w:r>
      <w:r>
        <w:rPr>
          <w:rFonts w:hint="default" w:ascii="Times New Roman" w:hAnsi="Times New Roman" w:eastAsia="宋体" w:cs="Times New Roman"/>
          <w:color w:val="auto"/>
          <w:kern w:val="2"/>
          <w:sz w:val="24"/>
          <w:szCs w:val="24"/>
        </w:rPr>
        <w:t>A</w:t>
      </w:r>
      <w:r>
        <w:rPr>
          <w:rFonts w:hint="eastAsia" w:ascii="宋体" w:hAnsi="宋体" w:eastAsia="宋体" w:cs="宋体"/>
          <w:color w:val="auto"/>
          <w:kern w:val="2"/>
          <w:sz w:val="24"/>
          <w:szCs w:val="24"/>
        </w:rPr>
        <w:t>标准，其中化学需氧量、氨氮、总氮、总磷排放执行《城镇污水处理厂主要水污染物排放标准》（</w:t>
      </w:r>
      <w:r>
        <w:rPr>
          <w:rFonts w:hint="default" w:ascii="Times New Roman" w:hAnsi="Times New Roman" w:eastAsia="宋体" w:cs="Times New Roman"/>
          <w:color w:val="auto"/>
          <w:kern w:val="2"/>
          <w:sz w:val="24"/>
          <w:szCs w:val="24"/>
        </w:rPr>
        <w:t>DB33/2169-2018</w:t>
      </w:r>
      <w:r>
        <w:rPr>
          <w:rFonts w:hint="eastAsia" w:ascii="宋体" w:hAnsi="宋体" w:eastAsia="宋体" w:cs="宋体"/>
          <w:color w:val="auto"/>
          <w:kern w:val="2"/>
          <w:sz w:val="24"/>
          <w:szCs w:val="24"/>
        </w:rPr>
        <w:t>）中的现有城镇污水处理厂排放限值，则排入自然水体的主要污染物量</w:t>
      </w:r>
      <w:r>
        <w:rPr>
          <w:rFonts w:hint="default" w:ascii="Times New Roman" w:hAnsi="Times New Roman" w:eastAsia="宋体" w:cs="Times New Roman"/>
          <w:color w:val="auto"/>
          <w:kern w:val="2"/>
          <w:sz w:val="24"/>
          <w:szCs w:val="24"/>
        </w:rPr>
        <w:t>COD</w:t>
      </w:r>
      <w:r>
        <w:rPr>
          <w:rFonts w:hint="default" w:ascii="Times New Roman" w:hAnsi="Times New Roman" w:eastAsia="宋体" w:cs="Times New Roman"/>
          <w:color w:val="auto"/>
          <w:kern w:val="2"/>
          <w:sz w:val="24"/>
          <w:szCs w:val="24"/>
          <w:vertAlign w:val="subscript"/>
        </w:rPr>
        <w:t>Cr</w:t>
      </w:r>
      <w:r>
        <w:rPr>
          <w:rFonts w:hint="eastAsia" w:ascii="宋体" w:hAnsi="宋体" w:eastAsia="宋体" w:cs="宋体"/>
          <w:color w:val="auto"/>
          <w:kern w:val="2"/>
          <w:sz w:val="24"/>
          <w:szCs w:val="24"/>
        </w:rPr>
        <w:t>为</w:t>
      </w:r>
      <w:r>
        <w:rPr>
          <w:rFonts w:hint="default" w:ascii="Times New Roman" w:hAnsi="Times New Roman" w:eastAsia="宋体" w:cs="Times New Roman"/>
          <w:color w:val="auto"/>
          <w:kern w:val="2"/>
          <w:sz w:val="24"/>
          <w:szCs w:val="24"/>
        </w:rPr>
        <w:t>0.115t/a</w:t>
      </w:r>
      <w:r>
        <w:rPr>
          <w:rFonts w:hint="eastAsia" w:ascii="宋体" w:hAnsi="宋体" w:eastAsia="宋体" w:cs="宋体"/>
          <w:color w:val="auto"/>
          <w:kern w:val="2"/>
          <w:sz w:val="24"/>
          <w:szCs w:val="24"/>
        </w:rPr>
        <w:t>、</w:t>
      </w:r>
      <w:r>
        <w:rPr>
          <w:rFonts w:hint="default" w:ascii="Times New Roman" w:hAnsi="Times New Roman" w:eastAsia="宋体" w:cs="Times New Roman"/>
          <w:color w:val="auto"/>
          <w:kern w:val="2"/>
          <w:sz w:val="24"/>
          <w:szCs w:val="24"/>
        </w:rPr>
        <w:t>NH</w:t>
      </w:r>
      <w:r>
        <w:rPr>
          <w:rFonts w:hint="default" w:ascii="Times New Roman" w:hAnsi="Times New Roman" w:eastAsia="宋体" w:cs="Times New Roman"/>
          <w:color w:val="auto"/>
          <w:kern w:val="2"/>
          <w:sz w:val="24"/>
          <w:szCs w:val="24"/>
          <w:vertAlign w:val="subscript"/>
        </w:rPr>
        <w:t>3</w:t>
      </w:r>
      <w:r>
        <w:rPr>
          <w:rFonts w:hint="default" w:ascii="Times New Roman" w:hAnsi="Times New Roman" w:eastAsia="宋体" w:cs="Times New Roman"/>
          <w:color w:val="auto"/>
          <w:kern w:val="2"/>
          <w:sz w:val="24"/>
          <w:szCs w:val="24"/>
        </w:rPr>
        <w:t>-N</w:t>
      </w:r>
      <w:r>
        <w:rPr>
          <w:rFonts w:hint="eastAsia" w:ascii="宋体" w:hAnsi="宋体" w:eastAsia="宋体" w:cs="宋体"/>
          <w:color w:val="auto"/>
          <w:kern w:val="2"/>
          <w:sz w:val="24"/>
          <w:szCs w:val="24"/>
        </w:rPr>
        <w:t>为</w:t>
      </w:r>
      <w:r>
        <w:rPr>
          <w:rFonts w:hint="default" w:ascii="Times New Roman" w:hAnsi="Times New Roman" w:eastAsia="宋体" w:cs="Times New Roman"/>
          <w:color w:val="auto"/>
          <w:kern w:val="2"/>
          <w:sz w:val="24"/>
          <w:szCs w:val="24"/>
        </w:rPr>
        <w:t>0.006t/a</w:t>
      </w:r>
      <w:r>
        <w:rPr>
          <w:rFonts w:hint="eastAsia" w:ascii="宋体" w:hAnsi="宋体" w:eastAsia="宋体" w:cs="宋体"/>
          <w:color w:val="auto"/>
          <w:kern w:val="2"/>
          <w:sz w:val="24"/>
          <w:szCs w:val="24"/>
          <w:highlight w:val="none"/>
        </w:rPr>
        <w:t>。</w:t>
      </w:r>
    </w:p>
    <w:p w14:paraId="2CE3E1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二、</w:t>
      </w:r>
      <w:r>
        <w:rPr>
          <w:rFonts w:hint="default" w:ascii="Times New Roman" w:hAnsi="Times New Roman" w:cs="Times New Roman"/>
          <w:color w:val="auto"/>
          <w:sz w:val="24"/>
          <w:szCs w:val="24"/>
          <w:highlight w:val="none"/>
          <w:lang w:val="en-US" w:eastAsia="zh-CN"/>
        </w:rPr>
        <w:t>废气</w:t>
      </w:r>
    </w:p>
    <w:p w14:paraId="5A30AA61">
      <w:pPr>
        <w:pStyle w:val="10"/>
        <w:keepNext w:val="0"/>
        <w:keepLines w:val="0"/>
        <w:widowControl w:val="0"/>
        <w:suppressLineNumbers w:val="0"/>
        <w:autoSpaceDE w:val="0"/>
        <w:autoSpaceDN/>
        <w:spacing w:before="0" w:beforeAutospacing="0" w:after="0" w:afterLines="0" w:afterAutospacing="0" w:line="360" w:lineRule="auto"/>
        <w:ind w:left="0" w:leftChars="0" w:right="0" w:firstLine="480" w:firstLineChars="200"/>
        <w:jc w:val="both"/>
        <w:rPr>
          <w:rFonts w:hint="eastAsia"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根据原环评文件，本项目废气中纳入总量控制的指标为工业烟粉尘。</w:t>
      </w:r>
    </w:p>
    <w:p w14:paraId="2D357E86">
      <w:pPr>
        <w:keepNext w:val="0"/>
        <w:keepLines w:val="0"/>
        <w:widowControl w:val="0"/>
        <w:suppressLineNumbers w:val="0"/>
        <w:spacing w:before="0" w:beforeAutospacing="0" w:after="0" w:afterAutospacing="0" w:line="360" w:lineRule="auto"/>
        <w:ind w:left="0" w:right="0" w:rightChars="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）本项目钢管共有</w:t>
      </w:r>
      <w:r>
        <w:rPr>
          <w:rFonts w:hint="default" w:ascii="Times New Roman" w:hAnsi="Times New Roman" w:eastAsia="宋体" w:cs="Times New Roman"/>
          <w:color w:val="auto"/>
          <w:kern w:val="2"/>
          <w:sz w:val="24"/>
          <w:szCs w:val="24"/>
          <w:lang w:val="en-US" w:eastAsia="zh-CN" w:bidi="ar"/>
        </w:rPr>
        <w:t>7</w:t>
      </w:r>
      <w:r>
        <w:rPr>
          <w:rFonts w:hint="eastAsia" w:ascii="宋体" w:hAnsi="宋体" w:eastAsia="宋体" w:cs="宋体"/>
          <w:color w:val="auto"/>
          <w:kern w:val="2"/>
          <w:sz w:val="24"/>
          <w:szCs w:val="24"/>
          <w:lang w:val="en-US" w:eastAsia="zh-CN" w:bidi="ar"/>
        </w:rPr>
        <w:t>条生产线，焊接、刮平工序满负荷年工作时间为</w:t>
      </w:r>
      <w:r>
        <w:rPr>
          <w:rFonts w:hint="default" w:ascii="Times New Roman" w:hAnsi="Times New Roman" w:eastAsia="宋体" w:cs="Times New Roman"/>
          <w:color w:val="auto"/>
          <w:kern w:val="2"/>
          <w:sz w:val="24"/>
          <w:szCs w:val="24"/>
          <w:lang w:val="en-US" w:eastAsia="zh-CN" w:bidi="ar"/>
        </w:rPr>
        <w:t>2400h</w:t>
      </w:r>
      <w:r>
        <w:rPr>
          <w:rFonts w:hint="eastAsia" w:ascii="宋体" w:hAnsi="宋体" w:eastAsia="宋体" w:cs="宋体"/>
          <w:color w:val="auto"/>
          <w:kern w:val="2"/>
          <w:sz w:val="24"/>
          <w:szCs w:val="24"/>
          <w:lang w:val="en-US" w:eastAsia="zh-CN" w:bidi="ar"/>
        </w:rPr>
        <w:t>。</w:t>
      </w:r>
    </w:p>
    <w:p w14:paraId="095D5BAD">
      <w:pPr>
        <w:keepNext w:val="0"/>
        <w:keepLines w:val="0"/>
        <w:widowControl w:val="0"/>
        <w:suppressLineNumbers w:val="0"/>
        <w:spacing w:before="0" w:beforeAutospacing="0" w:after="0" w:afterAutospacing="0" w:line="360" w:lineRule="auto"/>
        <w:ind w:left="0" w:right="0" w:rightChars="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在钢管</w:t>
      </w:r>
      <w:r>
        <w:rPr>
          <w:rFonts w:hint="default" w:ascii="Times New Roman" w:hAnsi="Times New Roman" w:eastAsia="宋体" w:cs="Times New Roman"/>
          <w:color w:val="auto"/>
          <w:kern w:val="2"/>
          <w:sz w:val="24"/>
          <w:szCs w:val="24"/>
          <w:lang w:val="en-US" w:eastAsia="zh-CN" w:bidi="ar"/>
        </w:rPr>
        <w:t>1#-6#</w:t>
      </w:r>
      <w:r>
        <w:rPr>
          <w:rFonts w:hint="eastAsia" w:ascii="宋体" w:hAnsi="宋体" w:eastAsia="宋体" w:cs="宋体"/>
          <w:color w:val="auto"/>
          <w:kern w:val="2"/>
          <w:sz w:val="24"/>
          <w:szCs w:val="24"/>
          <w:lang w:val="en-US" w:eastAsia="zh-CN" w:bidi="ar"/>
        </w:rPr>
        <w:t>生产线产污点设置半密闭罩对直缝高频焊接端的焊接烟尘、乳化液受热废气进行收集；刮刀端设置半密闭罩对刮刀粉尘进行收集，以上废气合并进入一套油雾净化器</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布袋除尘装置处理，尾气于</w:t>
      </w: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根</w:t>
      </w:r>
      <w:r>
        <w:rPr>
          <w:rFonts w:hint="default" w:ascii="Times New Roman" w:hAnsi="Times New Roman" w:eastAsia="宋体" w:cs="Times New Roman"/>
          <w:color w:val="auto"/>
          <w:kern w:val="2"/>
          <w:sz w:val="24"/>
          <w:szCs w:val="24"/>
          <w:lang w:val="en-US" w:eastAsia="zh-CN" w:bidi="ar"/>
        </w:rPr>
        <w:t>15m</w:t>
      </w:r>
      <w:r>
        <w:rPr>
          <w:rFonts w:hint="eastAsia" w:ascii="宋体" w:hAnsi="宋体" w:eastAsia="宋体" w:cs="宋体"/>
          <w:color w:val="auto"/>
          <w:kern w:val="2"/>
          <w:sz w:val="24"/>
          <w:szCs w:val="24"/>
          <w:lang w:val="en-US" w:eastAsia="zh-CN" w:bidi="ar"/>
        </w:rPr>
        <w:t>高的排气筒排放（</w:t>
      </w:r>
      <w:r>
        <w:rPr>
          <w:rFonts w:hint="default" w:ascii="Times New Roman" w:hAnsi="Times New Roman" w:eastAsia="宋体" w:cs="Times New Roman"/>
          <w:color w:val="auto"/>
          <w:kern w:val="2"/>
          <w:sz w:val="24"/>
          <w:szCs w:val="24"/>
          <w:lang w:val="en-US" w:eastAsia="zh-CN" w:bidi="ar"/>
        </w:rPr>
        <w:t>DA001</w:t>
      </w:r>
      <w:r>
        <w:rPr>
          <w:rFonts w:hint="eastAsia" w:ascii="宋体" w:hAnsi="宋体" w:eastAsia="宋体" w:cs="宋体"/>
          <w:color w:val="auto"/>
          <w:kern w:val="2"/>
          <w:sz w:val="24"/>
          <w:szCs w:val="24"/>
          <w:lang w:val="en-US" w:eastAsia="zh-CN" w:bidi="ar"/>
        </w:rPr>
        <w:t>）。颗粒物排放量</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排放速率</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年工作时间</w:t>
      </w:r>
      <w:r>
        <w:rPr>
          <w:rFonts w:hint="default" w:ascii="Times New Roman" w:hAnsi="Times New Roman" w:eastAsia="宋体" w:cs="Times New Roman"/>
          <w:color w:val="auto"/>
          <w:kern w:val="2"/>
          <w:sz w:val="24"/>
          <w:szCs w:val="24"/>
          <w:lang w:val="en-US" w:eastAsia="zh-CN" w:bidi="ar"/>
        </w:rPr>
        <w:t>=1/2×</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0.0158+0.0167</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×2400×10</w:t>
      </w:r>
      <w:r>
        <w:rPr>
          <w:rFonts w:hint="default" w:ascii="Times New Roman" w:hAnsi="Times New Roman" w:eastAsia="宋体" w:cs="Times New Roman"/>
          <w:color w:val="auto"/>
          <w:kern w:val="2"/>
          <w:sz w:val="24"/>
          <w:szCs w:val="24"/>
          <w:vertAlign w:val="superscript"/>
          <w:lang w:val="en-US" w:eastAsia="zh-CN" w:bidi="ar"/>
        </w:rPr>
        <w:t>-3</w:t>
      </w:r>
      <w:r>
        <w:rPr>
          <w:rFonts w:hint="default" w:ascii="Times New Roman" w:hAnsi="Times New Roman" w:eastAsia="宋体" w:cs="Times New Roman"/>
          <w:color w:val="auto"/>
          <w:kern w:val="2"/>
          <w:sz w:val="24"/>
          <w:szCs w:val="24"/>
          <w:lang w:val="en-US" w:eastAsia="zh-CN" w:bidi="ar"/>
        </w:rPr>
        <w:t>=0.039t/a</w:t>
      </w:r>
      <w:r>
        <w:rPr>
          <w:rFonts w:hint="eastAsia" w:ascii="宋体" w:hAnsi="宋体" w:eastAsia="宋体" w:cs="宋体"/>
          <w:color w:val="auto"/>
          <w:kern w:val="2"/>
          <w:sz w:val="24"/>
          <w:szCs w:val="24"/>
          <w:lang w:val="en-US" w:eastAsia="zh-CN" w:bidi="ar"/>
        </w:rPr>
        <w:t>。</w:t>
      </w:r>
    </w:p>
    <w:p w14:paraId="1D8E8D5C">
      <w:pPr>
        <w:keepNext w:val="0"/>
        <w:keepLines w:val="0"/>
        <w:widowControl w:val="0"/>
        <w:suppressLineNumbers w:val="0"/>
        <w:spacing w:before="0" w:beforeAutospacing="0" w:after="0" w:afterAutospacing="0" w:line="360" w:lineRule="auto"/>
        <w:ind w:left="0" w:right="0" w:rightChars="0" w:firstLine="480" w:firstLineChars="200"/>
        <w:jc w:val="both"/>
        <w:rPr>
          <w:rFonts w:hint="eastAsia"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在钢管</w:t>
      </w:r>
      <w:r>
        <w:rPr>
          <w:rFonts w:hint="default" w:ascii="Times New Roman" w:hAnsi="Times New Roman" w:eastAsia="宋体" w:cs="Times New Roman"/>
          <w:color w:val="auto"/>
          <w:kern w:val="2"/>
          <w:sz w:val="24"/>
          <w:szCs w:val="24"/>
          <w:lang w:val="en-US" w:eastAsia="zh-CN" w:bidi="ar"/>
        </w:rPr>
        <w:t>7#</w:t>
      </w:r>
      <w:r>
        <w:rPr>
          <w:rFonts w:hint="eastAsia" w:ascii="宋体" w:hAnsi="宋体" w:eastAsia="宋体" w:cs="宋体"/>
          <w:color w:val="auto"/>
          <w:kern w:val="2"/>
          <w:sz w:val="24"/>
          <w:szCs w:val="24"/>
          <w:lang w:val="en-US" w:eastAsia="zh-CN" w:bidi="ar"/>
        </w:rPr>
        <w:t>生产线产污点设置半密闭罩对直缝高频焊接端的焊接烟尘、乳化液受热废气进行收集；刮刀端设置半密闭罩对刮刀粉尘进行收集，以上废气合并进入一套油雾净化器</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布袋除尘装置处理，尾气于</w:t>
      </w: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根</w:t>
      </w:r>
      <w:r>
        <w:rPr>
          <w:rFonts w:hint="default" w:ascii="Times New Roman" w:hAnsi="Times New Roman" w:eastAsia="宋体" w:cs="Times New Roman"/>
          <w:color w:val="auto"/>
          <w:kern w:val="2"/>
          <w:sz w:val="24"/>
          <w:szCs w:val="24"/>
          <w:lang w:val="en-US" w:eastAsia="zh-CN" w:bidi="ar"/>
        </w:rPr>
        <w:t>15m</w:t>
      </w:r>
      <w:r>
        <w:rPr>
          <w:rFonts w:hint="eastAsia" w:ascii="宋体" w:hAnsi="宋体" w:eastAsia="宋体" w:cs="宋体"/>
          <w:color w:val="auto"/>
          <w:kern w:val="2"/>
          <w:sz w:val="24"/>
          <w:szCs w:val="24"/>
          <w:lang w:val="en-US" w:eastAsia="zh-CN" w:bidi="ar"/>
        </w:rPr>
        <w:t>高的排气筒排放（</w:t>
      </w:r>
      <w:r>
        <w:rPr>
          <w:rFonts w:hint="default" w:ascii="Times New Roman" w:hAnsi="Times New Roman" w:eastAsia="宋体" w:cs="Times New Roman"/>
          <w:color w:val="auto"/>
          <w:kern w:val="2"/>
          <w:sz w:val="24"/>
          <w:szCs w:val="24"/>
          <w:lang w:val="en-US" w:eastAsia="zh-CN" w:bidi="ar"/>
        </w:rPr>
        <w:t>DA002</w:t>
      </w:r>
      <w:r>
        <w:rPr>
          <w:rFonts w:hint="eastAsia" w:ascii="宋体" w:hAnsi="宋体" w:eastAsia="宋体" w:cs="宋体"/>
          <w:color w:val="auto"/>
          <w:kern w:val="2"/>
          <w:sz w:val="24"/>
          <w:szCs w:val="24"/>
          <w:lang w:val="en-US" w:eastAsia="zh-CN" w:bidi="ar"/>
        </w:rPr>
        <w:t>）。颗粒物排放量</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排放速率×年工作时间</w:t>
      </w:r>
      <w:r>
        <w:rPr>
          <w:rFonts w:hint="default" w:ascii="Times New Roman" w:hAnsi="Times New Roman" w:eastAsia="宋体" w:cs="Times New Roman"/>
          <w:color w:val="auto"/>
          <w:kern w:val="2"/>
          <w:sz w:val="24"/>
          <w:szCs w:val="24"/>
          <w:lang w:val="en-US" w:eastAsia="zh-CN" w:bidi="ar"/>
        </w:rPr>
        <w:t>=1/2</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0.0121+0.0118</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2400</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10</w:t>
      </w:r>
      <w:r>
        <w:rPr>
          <w:rFonts w:hint="default" w:ascii="Times New Roman" w:hAnsi="Times New Roman" w:eastAsia="宋体" w:cs="Times New Roman"/>
          <w:color w:val="auto"/>
          <w:kern w:val="2"/>
          <w:sz w:val="24"/>
          <w:szCs w:val="24"/>
          <w:vertAlign w:val="superscript"/>
          <w:lang w:val="en-US" w:eastAsia="zh-CN" w:bidi="ar"/>
        </w:rPr>
        <w:t>-3</w:t>
      </w:r>
      <w:r>
        <w:rPr>
          <w:rFonts w:hint="default" w:ascii="Times New Roman" w:hAnsi="Times New Roman" w:eastAsia="宋体" w:cs="Times New Roman"/>
          <w:color w:val="auto"/>
          <w:kern w:val="2"/>
          <w:sz w:val="24"/>
          <w:szCs w:val="24"/>
          <w:lang w:val="en-US" w:eastAsia="zh-CN" w:bidi="ar"/>
        </w:rPr>
        <w:t>=0.029t/a</w:t>
      </w:r>
      <w:r>
        <w:rPr>
          <w:rFonts w:hint="eastAsia" w:ascii="宋体" w:hAnsi="宋体" w:eastAsia="宋体" w:cs="宋体"/>
          <w:color w:val="auto"/>
          <w:kern w:val="2"/>
          <w:sz w:val="24"/>
          <w:szCs w:val="24"/>
          <w:lang w:val="en-US" w:eastAsia="zh-CN" w:bidi="ar"/>
        </w:rPr>
        <w:t>。</w:t>
      </w:r>
    </w:p>
    <w:p w14:paraId="785AF59E">
      <w:pPr>
        <w:keepNext w:val="0"/>
        <w:keepLines w:val="0"/>
        <w:widowControl w:val="0"/>
        <w:numPr>
          <w:ilvl w:val="0"/>
          <w:numId w:val="4"/>
        </w:numPr>
        <w:suppressLineNumbers w:val="0"/>
        <w:spacing w:before="0" w:beforeAutospacing="0" w:after="0" w:afterAutospacing="0" w:line="360" w:lineRule="auto"/>
        <w:ind w:left="0" w:leftChars="0" w:right="0" w:rightChars="0" w:firstLine="480" w:firstLineChars="200"/>
        <w:jc w:val="both"/>
        <w:rPr>
          <w:rFonts w:hint="eastAsia"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本项目抛光工序满负荷年工作时间为</w:t>
      </w:r>
      <w:r>
        <w:rPr>
          <w:rFonts w:hint="default" w:ascii="Times New Roman" w:hAnsi="Times New Roman" w:eastAsia="宋体" w:cs="Times New Roman"/>
          <w:color w:val="auto"/>
          <w:kern w:val="2"/>
          <w:sz w:val="24"/>
          <w:szCs w:val="24"/>
          <w:lang w:val="en-US" w:eastAsia="zh-CN" w:bidi="ar"/>
        </w:rPr>
        <w:t>2400h</w:t>
      </w:r>
      <w:r>
        <w:rPr>
          <w:rFonts w:hint="eastAsia" w:ascii="宋体" w:hAnsi="宋体" w:eastAsia="宋体" w:cs="宋体"/>
          <w:color w:val="auto"/>
          <w:kern w:val="2"/>
          <w:sz w:val="24"/>
          <w:szCs w:val="24"/>
          <w:lang w:val="en-US" w:eastAsia="zh-CN" w:bidi="ar"/>
        </w:rPr>
        <w:t>。本项目抛光粉尘经设备自带水幕除尘装置处理后进入一套布袋除尘装置处理，尾气通过一根</w:t>
      </w:r>
      <w:r>
        <w:rPr>
          <w:rFonts w:hint="default" w:ascii="Times New Roman" w:hAnsi="Times New Roman" w:eastAsia="宋体" w:cs="Times New Roman"/>
          <w:color w:val="auto"/>
          <w:kern w:val="2"/>
          <w:sz w:val="24"/>
          <w:szCs w:val="24"/>
          <w:lang w:val="en-US" w:eastAsia="zh-CN" w:bidi="ar"/>
        </w:rPr>
        <w:t>15m</w:t>
      </w:r>
      <w:r>
        <w:rPr>
          <w:rFonts w:hint="eastAsia" w:ascii="宋体" w:hAnsi="宋体" w:eastAsia="宋体" w:cs="宋体"/>
          <w:color w:val="auto"/>
          <w:kern w:val="2"/>
          <w:sz w:val="24"/>
          <w:szCs w:val="24"/>
          <w:lang w:val="en-US" w:eastAsia="zh-CN" w:bidi="ar"/>
        </w:rPr>
        <w:t>高的排气筒排放（</w:t>
      </w:r>
      <w:r>
        <w:rPr>
          <w:rFonts w:hint="default" w:ascii="Times New Roman" w:hAnsi="Times New Roman" w:eastAsia="宋体" w:cs="Times New Roman"/>
          <w:color w:val="auto"/>
          <w:kern w:val="2"/>
          <w:sz w:val="24"/>
          <w:szCs w:val="24"/>
          <w:lang w:val="en-US" w:eastAsia="zh-CN" w:bidi="ar"/>
        </w:rPr>
        <w:t>DA003</w:t>
      </w:r>
      <w:r>
        <w:rPr>
          <w:rFonts w:hint="eastAsia" w:ascii="宋体" w:hAnsi="宋体" w:eastAsia="宋体" w:cs="宋体"/>
          <w:color w:val="auto"/>
          <w:kern w:val="2"/>
          <w:sz w:val="24"/>
          <w:szCs w:val="24"/>
          <w:lang w:val="en-US" w:eastAsia="zh-CN" w:bidi="ar"/>
        </w:rPr>
        <w:t>）。颗粒物排放量</w:t>
      </w:r>
      <w:r>
        <w:rPr>
          <w:rFonts w:hint="default" w:ascii="Times New Roman" w:hAnsi="Times New Roman" w:eastAsia="宋体" w:cs="Times New Roman"/>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排放速率×年工作时间</w:t>
      </w:r>
      <w:r>
        <w:rPr>
          <w:rFonts w:hint="default" w:ascii="Times New Roman" w:hAnsi="Times New Roman" w:eastAsia="宋体" w:cs="Times New Roman"/>
          <w:color w:val="auto"/>
          <w:kern w:val="2"/>
          <w:sz w:val="24"/>
          <w:szCs w:val="24"/>
          <w:lang w:val="en-US" w:eastAsia="zh-CN" w:bidi="ar"/>
        </w:rPr>
        <w:t>=1/2</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0.0187+0.0176</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2400</w:t>
      </w:r>
      <w:r>
        <w:rPr>
          <w:rFonts w:hint="eastAsia" w:ascii="宋体" w:hAnsi="宋体" w:eastAsia="宋体" w:cs="宋体"/>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10</w:t>
      </w:r>
      <w:r>
        <w:rPr>
          <w:rFonts w:hint="default" w:ascii="Times New Roman" w:hAnsi="Times New Roman" w:eastAsia="宋体" w:cs="Times New Roman"/>
          <w:color w:val="auto"/>
          <w:kern w:val="2"/>
          <w:sz w:val="24"/>
          <w:szCs w:val="24"/>
          <w:vertAlign w:val="superscript"/>
          <w:lang w:val="en-US" w:eastAsia="zh-CN" w:bidi="ar"/>
        </w:rPr>
        <w:t>-3</w:t>
      </w:r>
      <w:r>
        <w:rPr>
          <w:rFonts w:hint="default" w:ascii="Times New Roman" w:hAnsi="Times New Roman" w:eastAsia="宋体" w:cs="Times New Roman"/>
          <w:color w:val="auto"/>
          <w:kern w:val="2"/>
          <w:sz w:val="24"/>
          <w:szCs w:val="24"/>
          <w:lang w:val="en-US" w:eastAsia="zh-CN" w:bidi="ar"/>
        </w:rPr>
        <w:t>=0.044t/a</w:t>
      </w:r>
      <w:r>
        <w:rPr>
          <w:rFonts w:hint="eastAsia" w:ascii="宋体" w:hAnsi="宋体" w:eastAsia="宋体" w:cs="宋体"/>
          <w:color w:val="auto"/>
          <w:kern w:val="2"/>
          <w:sz w:val="24"/>
          <w:szCs w:val="24"/>
          <w:lang w:val="en-US" w:eastAsia="zh-CN" w:bidi="ar"/>
        </w:rPr>
        <w:t>。</w:t>
      </w:r>
    </w:p>
    <w:p w14:paraId="0E202986">
      <w:pPr>
        <w:keepNext w:val="0"/>
        <w:keepLines w:val="0"/>
        <w:widowControl w:val="0"/>
        <w:suppressLineNumbers w:val="0"/>
        <w:spacing w:before="0" w:beforeAutospacing="0" w:after="0" w:afterAutospacing="0" w:line="360" w:lineRule="auto"/>
        <w:ind w:left="420" w:leftChars="200" w:right="0" w:rightChars="0"/>
        <w:jc w:val="both"/>
        <w:rPr>
          <w:rFonts w:hint="eastAsia"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综上，本项目工业烟粉尘实际产生量合计为</w:t>
      </w:r>
      <w:r>
        <w:rPr>
          <w:rFonts w:hint="default" w:ascii="Times New Roman" w:hAnsi="Times New Roman" w:eastAsia="宋体" w:cs="Times New Roman"/>
          <w:color w:val="auto"/>
          <w:kern w:val="2"/>
          <w:sz w:val="24"/>
          <w:szCs w:val="24"/>
          <w:lang w:val="en-US" w:eastAsia="zh-CN" w:bidi="ar"/>
        </w:rPr>
        <w:t>0.112t/a</w:t>
      </w:r>
      <w:r>
        <w:rPr>
          <w:rFonts w:hint="eastAsia" w:ascii="宋体" w:hAnsi="宋体" w:eastAsia="宋体" w:cs="宋体"/>
          <w:color w:val="auto"/>
          <w:kern w:val="2"/>
          <w:sz w:val="24"/>
          <w:szCs w:val="24"/>
          <w:lang w:val="en-US" w:eastAsia="zh-CN" w:bidi="ar"/>
        </w:rPr>
        <w:t>。</w:t>
      </w:r>
    </w:p>
    <w:p w14:paraId="68AE0C09">
      <w:pPr>
        <w:keepNext w:val="0"/>
        <w:keepLines w:val="0"/>
        <w:widowControl w:val="0"/>
        <w:suppressLineNumbers w:val="0"/>
        <w:autoSpaceDE w:val="0"/>
        <w:autoSpaceDN/>
        <w:spacing w:before="0" w:beforeAutospacing="0" w:after="0" w:afterAutospacing="0"/>
        <w:ind w:left="420" w:leftChars="200" w:right="0" w:rightChars="0"/>
        <w:jc w:val="both"/>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注：挥发性有机物不做定量分析，仅分析其达标情况。</w:t>
      </w:r>
    </w:p>
    <w:p w14:paraId="1C3DDD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根据项目的生产情况和验收监测结果，核算实际主要污染物排放总量控制指标</w:t>
      </w:r>
      <w:r>
        <w:rPr>
          <w:rFonts w:hint="default" w:ascii="Times New Roman" w:hAnsi="Times New Roman" w:eastAsia="宋体" w:cs="Times New Roman"/>
          <w:color w:val="auto"/>
          <w:kern w:val="2"/>
          <w:sz w:val="24"/>
          <w:szCs w:val="24"/>
          <w:highlight w:val="none"/>
        </w:rPr>
        <w:t>COD</w:t>
      </w:r>
      <w:r>
        <w:rPr>
          <w:rFonts w:hint="default" w:ascii="Times New Roman" w:hAnsi="Times New Roman" w:eastAsia="宋体" w:cs="Times New Roman"/>
          <w:color w:val="auto"/>
          <w:kern w:val="2"/>
          <w:sz w:val="24"/>
          <w:szCs w:val="24"/>
          <w:highlight w:val="none"/>
          <w:vertAlign w:val="subscript"/>
        </w:rPr>
        <w:t>Cr</w:t>
      </w:r>
      <w:r>
        <w:rPr>
          <w:rFonts w:hint="eastAsia" w:ascii="宋体" w:hAnsi="宋体" w:eastAsia="宋体" w:cs="宋体"/>
          <w:color w:val="auto"/>
          <w:kern w:val="2"/>
          <w:sz w:val="24"/>
          <w:szCs w:val="24"/>
          <w:highlight w:val="none"/>
        </w:rPr>
        <w:t>、</w:t>
      </w:r>
      <w:r>
        <w:rPr>
          <w:rFonts w:hint="default" w:ascii="Times New Roman" w:hAnsi="Times New Roman" w:eastAsia="宋体" w:cs="Times New Roman"/>
          <w:color w:val="auto"/>
          <w:kern w:val="2"/>
          <w:sz w:val="24"/>
          <w:szCs w:val="24"/>
          <w:highlight w:val="none"/>
        </w:rPr>
        <w:t>NH</w:t>
      </w:r>
      <w:r>
        <w:rPr>
          <w:rFonts w:hint="default" w:ascii="Times New Roman" w:hAnsi="Times New Roman" w:eastAsia="宋体" w:cs="Times New Roman"/>
          <w:color w:val="auto"/>
          <w:kern w:val="2"/>
          <w:sz w:val="24"/>
          <w:szCs w:val="24"/>
          <w:highlight w:val="none"/>
          <w:vertAlign w:val="subscript"/>
        </w:rPr>
        <w:t>3</w:t>
      </w:r>
      <w:r>
        <w:rPr>
          <w:rFonts w:hint="default" w:ascii="Times New Roman" w:hAnsi="Times New Roman" w:eastAsia="宋体" w:cs="Times New Roman"/>
          <w:color w:val="auto"/>
          <w:kern w:val="2"/>
          <w:sz w:val="24"/>
          <w:szCs w:val="24"/>
          <w:highlight w:val="none"/>
        </w:rPr>
        <w:t>-N</w:t>
      </w:r>
      <w:r>
        <w:rPr>
          <w:rFonts w:hint="eastAsia" w:ascii="宋体" w:hAnsi="宋体" w:eastAsia="宋体" w:cs="宋体"/>
          <w:color w:val="auto"/>
          <w:kern w:val="2"/>
          <w:sz w:val="24"/>
          <w:szCs w:val="24"/>
          <w:highlight w:val="none"/>
        </w:rPr>
        <w:t>和工业烟粉尘排放总量</w:t>
      </w:r>
      <w:r>
        <w:rPr>
          <w:rFonts w:hint="eastAsia" w:ascii="宋体" w:hAnsi="宋体" w:eastAsia="宋体" w:cs="宋体"/>
          <w:color w:val="auto"/>
          <w:kern w:val="2"/>
          <w:sz w:val="24"/>
          <w:szCs w:val="24"/>
          <w:highlight w:val="none"/>
          <w:lang w:val="en-US" w:eastAsia="zh-CN" w:bidi="ar"/>
        </w:rPr>
        <w:t>，具体见下表</w:t>
      </w:r>
      <w:r>
        <w:rPr>
          <w:rFonts w:hint="default" w:ascii="Times New Roman" w:hAnsi="Times New Roman" w:eastAsia="宋体" w:cs="Times New Roman"/>
          <w:color w:val="auto"/>
          <w:kern w:val="2"/>
          <w:sz w:val="24"/>
          <w:szCs w:val="24"/>
          <w:highlight w:val="none"/>
          <w:lang w:val="en-US" w:eastAsia="zh-CN" w:bidi="ar"/>
        </w:rPr>
        <w:t>。</w:t>
      </w:r>
    </w:p>
    <w:p w14:paraId="1ECA5374">
      <w:pPr>
        <w:pStyle w:val="10"/>
        <w:keepNext w:val="0"/>
        <w:keepLines w:val="0"/>
        <w:widowControl w:val="0"/>
        <w:suppressLineNumbers w:val="0"/>
        <w:autoSpaceDE w:val="0"/>
        <w:autoSpaceDN/>
        <w:spacing w:before="0" w:beforeAutospacing="0" w:after="0" w:afterLines="0" w:afterAutospacing="0"/>
        <w:ind w:left="0" w:right="0"/>
        <w:jc w:val="center"/>
        <w:rPr>
          <w:rFonts w:hint="eastAsia" w:ascii="宋体" w:hAnsi="宋体" w:eastAsia="宋体" w:cs="宋体"/>
          <w:b/>
          <w:bCs/>
          <w:color w:val="auto"/>
          <w:kern w:val="2"/>
          <w:sz w:val="21"/>
          <w:szCs w:val="21"/>
          <w:highlight w:val="none"/>
          <w:lang w:val="en-US" w:eastAsia="zh-CN" w:bidi="ar"/>
        </w:rPr>
      </w:pPr>
      <w:r>
        <w:rPr>
          <w:rFonts w:hint="default" w:ascii="Times New Roman" w:hAnsi="Times New Roman" w:eastAsia="宋体" w:cs="Times New Roman"/>
          <w:b/>
          <w:bCs/>
          <w:color w:val="auto"/>
          <w:kern w:val="2"/>
          <w:sz w:val="21"/>
          <w:szCs w:val="21"/>
          <w:highlight w:val="none"/>
          <w:lang w:val="en-US" w:eastAsia="zh-CN" w:bidi="ar"/>
        </w:rPr>
        <w:t>表</w:t>
      </w:r>
      <w:r>
        <w:rPr>
          <w:rFonts w:hint="default" w:ascii="Times New Roman" w:hAnsi="Times New Roman" w:cs="Times New Roman"/>
          <w:b/>
          <w:bCs/>
          <w:color w:val="auto"/>
          <w:kern w:val="2"/>
          <w:sz w:val="21"/>
          <w:szCs w:val="21"/>
          <w:highlight w:val="none"/>
          <w:lang w:val="en-US" w:eastAsia="zh-CN" w:bidi="ar"/>
        </w:rPr>
        <w:t>2</w:t>
      </w:r>
      <w:r>
        <w:rPr>
          <w:rFonts w:hint="default" w:ascii="Times New Roman" w:hAnsi="Times New Roman" w:eastAsia="宋体" w:cs="Times New Roman"/>
          <w:b/>
          <w:bCs/>
          <w:color w:val="auto"/>
          <w:kern w:val="2"/>
          <w:sz w:val="21"/>
          <w:szCs w:val="21"/>
          <w:highlight w:val="none"/>
          <w:lang w:val="en-US" w:eastAsia="zh-CN" w:bidi="ar"/>
        </w:rPr>
        <w:t xml:space="preserve">  </w:t>
      </w:r>
      <w:r>
        <w:rPr>
          <w:rFonts w:hint="eastAsia" w:ascii="宋体" w:hAnsi="宋体" w:eastAsia="宋体" w:cs="宋体"/>
          <w:b/>
          <w:bCs/>
          <w:color w:val="auto"/>
          <w:kern w:val="2"/>
          <w:sz w:val="21"/>
          <w:szCs w:val="21"/>
          <w:highlight w:val="none"/>
          <w:lang w:val="en-US" w:eastAsia="zh-CN" w:bidi="ar"/>
        </w:rPr>
        <w:t>本项目实际污染物排放总量控制指标核算表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79"/>
        <w:gridCol w:w="1593"/>
        <w:gridCol w:w="1406"/>
        <w:gridCol w:w="1401"/>
        <w:gridCol w:w="1413"/>
        <w:gridCol w:w="2856"/>
      </w:tblGrid>
      <w:tr w14:paraId="1612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834" w:type="dxa"/>
            <w:tcBorders>
              <w:top w:val="single" w:color="auto" w:sz="4" w:space="0"/>
              <w:left w:val="single" w:color="auto" w:sz="4" w:space="0"/>
              <w:bottom w:val="single" w:color="auto" w:sz="4" w:space="0"/>
              <w:right w:val="single" w:color="auto" w:sz="4" w:space="0"/>
            </w:tcBorders>
            <w:shd w:val="clear" w:color="auto" w:fill="auto"/>
            <w:vAlign w:val="center"/>
          </w:tcPr>
          <w:p w14:paraId="1630018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类别</w:t>
            </w:r>
          </w:p>
        </w:tc>
        <w:tc>
          <w:tcPr>
            <w:tcW w:w="284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1FD545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总量控制指标名称</w:t>
            </w:r>
          </w:p>
        </w:tc>
        <w:tc>
          <w:tcPr>
            <w:tcW w:w="267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A15ABB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审批排放量（</w:t>
            </w:r>
            <w:r>
              <w:rPr>
                <w:rFonts w:hint="default" w:ascii="Times New Roman" w:hAnsi="Times New Roman" w:eastAsia="宋体" w:cs="Times New Roman"/>
                <w:b/>
                <w:bCs w:val="0"/>
                <w:color w:val="auto"/>
                <w:kern w:val="2"/>
                <w:sz w:val="21"/>
                <w:szCs w:val="21"/>
                <w:lang w:val="en-US" w:eastAsia="zh-CN" w:bidi="ar"/>
              </w:rPr>
              <w:t>t/a</w:t>
            </w:r>
            <w:r>
              <w:rPr>
                <w:rFonts w:hint="eastAsia" w:ascii="宋体" w:hAnsi="宋体" w:eastAsia="宋体" w:cs="宋体"/>
                <w:b/>
                <w:bCs w:val="0"/>
                <w:color w:val="auto"/>
                <w:kern w:val="2"/>
                <w:sz w:val="21"/>
                <w:szCs w:val="21"/>
                <w:lang w:val="en-US" w:eastAsia="zh-CN" w:bidi="ar"/>
              </w:rPr>
              <w:t>）</w:t>
            </w:r>
          </w:p>
        </w:tc>
        <w:tc>
          <w:tcPr>
            <w:tcW w:w="2711" w:type="dxa"/>
            <w:tcBorders>
              <w:top w:val="single" w:color="auto" w:sz="4" w:space="0"/>
              <w:left w:val="single" w:color="auto" w:sz="4" w:space="0"/>
              <w:bottom w:val="single" w:color="auto" w:sz="4" w:space="0"/>
              <w:right w:val="single" w:color="auto" w:sz="4" w:space="0"/>
            </w:tcBorders>
            <w:shd w:val="clear" w:color="auto" w:fill="auto"/>
            <w:vAlign w:val="center"/>
          </w:tcPr>
          <w:p w14:paraId="01E94FB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实际排放量（</w:t>
            </w:r>
            <w:r>
              <w:rPr>
                <w:rFonts w:hint="default" w:ascii="Times New Roman" w:hAnsi="Times New Roman" w:eastAsia="宋体" w:cs="Times New Roman"/>
                <w:b/>
                <w:bCs w:val="0"/>
                <w:color w:val="auto"/>
                <w:kern w:val="2"/>
                <w:sz w:val="21"/>
                <w:szCs w:val="21"/>
                <w:lang w:val="en-US" w:eastAsia="zh-CN" w:bidi="ar"/>
              </w:rPr>
              <w:t>t/a</w:t>
            </w:r>
            <w:r>
              <w:rPr>
                <w:rFonts w:hint="eastAsia" w:ascii="宋体" w:hAnsi="宋体" w:eastAsia="宋体" w:cs="宋体"/>
                <w:b/>
                <w:bCs w:val="0"/>
                <w:color w:val="auto"/>
                <w:kern w:val="2"/>
                <w:sz w:val="21"/>
                <w:szCs w:val="21"/>
                <w:lang w:val="en-US" w:eastAsia="zh-CN" w:bidi="ar"/>
              </w:rPr>
              <w:t>）</w:t>
            </w:r>
          </w:p>
        </w:tc>
      </w:tr>
      <w:tr w14:paraId="2F20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restart"/>
            <w:tcBorders>
              <w:top w:val="nil"/>
              <w:left w:val="single" w:color="auto" w:sz="4" w:space="0"/>
              <w:bottom w:val="single" w:color="auto" w:sz="4" w:space="0"/>
              <w:right w:val="single" w:color="auto" w:sz="4" w:space="0"/>
            </w:tcBorders>
            <w:shd w:val="clear" w:color="auto" w:fill="auto"/>
            <w:vAlign w:val="center"/>
          </w:tcPr>
          <w:p w14:paraId="18B0925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b w:val="0"/>
                <w:bCs w:val="0"/>
                <w:color w:val="auto"/>
                <w:kern w:val="2"/>
                <w:sz w:val="21"/>
                <w:szCs w:val="21"/>
                <w:lang w:val="en-US" w:eastAsia="zh-CN" w:bidi="ar"/>
              </w:rPr>
              <w:t>废水</w:t>
            </w:r>
          </w:p>
        </w:tc>
        <w:tc>
          <w:tcPr>
            <w:tcW w:w="284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948283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rPr>
            </w:pPr>
            <w:r>
              <w:rPr>
                <w:rFonts w:hint="eastAsia" w:ascii="宋体" w:hAnsi="宋体" w:eastAsia="宋体" w:cs="宋体"/>
                <w:b w:val="0"/>
                <w:bCs w:val="0"/>
                <w:color w:val="auto"/>
                <w:kern w:val="2"/>
                <w:sz w:val="21"/>
                <w:szCs w:val="21"/>
                <w:lang w:val="en-US" w:eastAsia="zh-CN" w:bidi="ar"/>
              </w:rPr>
              <w:t>水量</w:t>
            </w:r>
          </w:p>
        </w:tc>
        <w:tc>
          <w:tcPr>
            <w:tcW w:w="267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8FFCA65">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aps w:val="0"/>
                <w:color w:val="auto"/>
                <w:kern w:val="2"/>
                <w:sz w:val="21"/>
                <w:szCs w:val="21"/>
              </w:rPr>
            </w:pPr>
            <w:r>
              <w:rPr>
                <w:rFonts w:hint="default" w:ascii="Times New Roman" w:hAnsi="Times New Roman" w:eastAsia="宋体" w:cs="Times New Roman"/>
                <w:color w:val="auto"/>
                <w:kern w:val="2"/>
                <w:sz w:val="21"/>
                <w:szCs w:val="21"/>
                <w:lang w:val="en-US" w:eastAsia="zh-CN" w:bidi="ar"/>
              </w:rPr>
              <w:t>2880</w:t>
            </w:r>
          </w:p>
        </w:tc>
        <w:tc>
          <w:tcPr>
            <w:tcW w:w="2711" w:type="dxa"/>
            <w:tcBorders>
              <w:top w:val="single" w:color="auto" w:sz="4" w:space="0"/>
              <w:left w:val="single" w:color="auto" w:sz="4" w:space="0"/>
              <w:bottom w:val="single" w:color="auto" w:sz="4" w:space="0"/>
              <w:right w:val="single" w:color="auto" w:sz="4" w:space="0"/>
            </w:tcBorders>
            <w:shd w:val="clear" w:color="auto" w:fill="auto"/>
            <w:vAlign w:val="center"/>
          </w:tcPr>
          <w:p w14:paraId="375D23D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aps w:val="0"/>
                <w:color w:val="auto"/>
                <w:kern w:val="2"/>
                <w:sz w:val="21"/>
                <w:szCs w:val="21"/>
              </w:rPr>
            </w:pPr>
            <w:r>
              <w:rPr>
                <w:rFonts w:hint="default" w:ascii="Times New Roman" w:hAnsi="Times New Roman" w:eastAsia="宋体" w:cs="Times New Roman"/>
                <w:caps w:val="0"/>
                <w:color w:val="auto"/>
                <w:kern w:val="2"/>
                <w:sz w:val="21"/>
                <w:szCs w:val="21"/>
                <w:lang w:val="en-US" w:eastAsia="zh-CN" w:bidi="ar"/>
              </w:rPr>
              <w:t>2868.8</w:t>
            </w:r>
          </w:p>
        </w:tc>
      </w:tr>
      <w:tr w14:paraId="0E27E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continue"/>
            <w:tcBorders>
              <w:top w:val="nil"/>
              <w:left w:val="single" w:color="auto" w:sz="4" w:space="0"/>
              <w:bottom w:val="single" w:color="auto" w:sz="4" w:space="0"/>
              <w:right w:val="single" w:color="auto" w:sz="4" w:space="0"/>
            </w:tcBorders>
            <w:shd w:val="clear" w:color="auto" w:fill="auto"/>
            <w:vAlign w:val="center"/>
          </w:tcPr>
          <w:p w14:paraId="649C9F9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1ECED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lang w:val="en-US" w:eastAsia="zh-CN" w:bidi="ar"/>
              </w:rPr>
              <w:t>COD</w:t>
            </w:r>
            <w:r>
              <w:rPr>
                <w:rFonts w:hint="default" w:ascii="Times New Roman" w:hAnsi="Times New Roman" w:eastAsia="宋体" w:cs="Times New Roman"/>
                <w:b w:val="0"/>
                <w:bCs w:val="0"/>
                <w:color w:val="auto"/>
                <w:kern w:val="2"/>
                <w:sz w:val="21"/>
                <w:szCs w:val="21"/>
                <w:vertAlign w:val="subscript"/>
                <w:lang w:val="en-US" w:eastAsia="zh-CN" w:bidi="ar"/>
              </w:rPr>
              <w:t>Cr</w:t>
            </w:r>
          </w:p>
        </w:tc>
        <w:tc>
          <w:tcPr>
            <w:tcW w:w="267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B64946">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aps w:val="0"/>
                <w:color w:val="auto"/>
                <w:kern w:val="2"/>
                <w:sz w:val="21"/>
                <w:szCs w:val="21"/>
              </w:rPr>
            </w:pPr>
            <w:r>
              <w:rPr>
                <w:rFonts w:hint="default" w:ascii="Times New Roman" w:hAnsi="Times New Roman" w:eastAsia="宋体" w:cs="Times New Roman"/>
                <w:color w:val="auto"/>
                <w:kern w:val="2"/>
                <w:sz w:val="21"/>
                <w:szCs w:val="21"/>
                <w:lang w:val="en-US" w:eastAsia="zh-CN" w:bidi="ar"/>
              </w:rPr>
              <w:t>0.115</w:t>
            </w:r>
          </w:p>
        </w:tc>
        <w:tc>
          <w:tcPr>
            <w:tcW w:w="2711" w:type="dxa"/>
            <w:tcBorders>
              <w:top w:val="single" w:color="auto" w:sz="4" w:space="0"/>
              <w:left w:val="single" w:color="auto" w:sz="4" w:space="0"/>
              <w:bottom w:val="single" w:color="auto" w:sz="4" w:space="0"/>
              <w:right w:val="single" w:color="auto" w:sz="4" w:space="0"/>
            </w:tcBorders>
            <w:shd w:val="clear" w:color="auto" w:fill="auto"/>
            <w:vAlign w:val="center"/>
          </w:tcPr>
          <w:p w14:paraId="69319CE2">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aps w:val="0"/>
                <w:color w:val="auto"/>
                <w:kern w:val="2"/>
                <w:sz w:val="21"/>
                <w:szCs w:val="21"/>
              </w:rPr>
            </w:pPr>
            <w:r>
              <w:rPr>
                <w:rFonts w:hint="default" w:ascii="Times New Roman" w:hAnsi="Times New Roman" w:eastAsia="宋体" w:cs="Times New Roman"/>
                <w:caps w:val="0"/>
                <w:color w:val="auto"/>
                <w:kern w:val="2"/>
                <w:sz w:val="21"/>
                <w:szCs w:val="21"/>
                <w:lang w:val="en-US" w:eastAsia="zh-CN" w:bidi="ar"/>
              </w:rPr>
              <w:t>0.115</w:t>
            </w:r>
          </w:p>
        </w:tc>
      </w:tr>
      <w:tr w14:paraId="2FFEE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continue"/>
            <w:tcBorders>
              <w:top w:val="nil"/>
              <w:left w:val="single" w:color="auto" w:sz="4" w:space="0"/>
              <w:bottom w:val="single" w:color="auto" w:sz="4" w:space="0"/>
              <w:right w:val="single" w:color="auto" w:sz="4" w:space="0"/>
            </w:tcBorders>
            <w:shd w:val="clear" w:color="auto" w:fill="auto"/>
            <w:vAlign w:val="center"/>
          </w:tcPr>
          <w:p w14:paraId="7A7AA89E">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D4C2F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lang w:val="en-US" w:eastAsia="zh-CN" w:bidi="ar"/>
              </w:rPr>
              <w:t>NH</w:t>
            </w:r>
            <w:r>
              <w:rPr>
                <w:rFonts w:hint="default" w:ascii="Times New Roman" w:hAnsi="Times New Roman" w:eastAsia="宋体" w:cs="Times New Roman"/>
                <w:b w:val="0"/>
                <w:bCs w:val="0"/>
                <w:color w:val="auto"/>
                <w:kern w:val="2"/>
                <w:sz w:val="21"/>
                <w:szCs w:val="21"/>
                <w:vertAlign w:val="subscript"/>
                <w:lang w:val="en-US" w:eastAsia="zh-CN" w:bidi="ar"/>
              </w:rPr>
              <w:t>3</w:t>
            </w:r>
            <w:r>
              <w:rPr>
                <w:rFonts w:hint="default" w:ascii="Times New Roman" w:hAnsi="Times New Roman" w:eastAsia="宋体" w:cs="Times New Roman"/>
                <w:b w:val="0"/>
                <w:bCs w:val="0"/>
                <w:color w:val="auto"/>
                <w:kern w:val="2"/>
                <w:sz w:val="21"/>
                <w:szCs w:val="21"/>
                <w:lang w:val="en-US" w:eastAsia="zh-CN" w:bidi="ar"/>
              </w:rPr>
              <w:t>-N</w:t>
            </w:r>
          </w:p>
        </w:tc>
        <w:tc>
          <w:tcPr>
            <w:tcW w:w="267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9F0F2A8">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aps w:val="0"/>
                <w:color w:val="auto"/>
                <w:kern w:val="2"/>
                <w:sz w:val="21"/>
                <w:szCs w:val="21"/>
              </w:rPr>
            </w:pPr>
            <w:r>
              <w:rPr>
                <w:rFonts w:hint="default" w:ascii="Times New Roman" w:hAnsi="Times New Roman" w:eastAsia="宋体" w:cs="Times New Roman"/>
                <w:color w:val="auto"/>
                <w:kern w:val="2"/>
                <w:sz w:val="21"/>
                <w:szCs w:val="21"/>
                <w:lang w:val="en-US" w:eastAsia="zh-CN" w:bidi="ar"/>
              </w:rPr>
              <w:t>0.006</w:t>
            </w:r>
          </w:p>
        </w:tc>
        <w:tc>
          <w:tcPr>
            <w:tcW w:w="2711" w:type="dxa"/>
            <w:tcBorders>
              <w:top w:val="single" w:color="auto" w:sz="4" w:space="0"/>
              <w:left w:val="single" w:color="auto" w:sz="4" w:space="0"/>
              <w:bottom w:val="single" w:color="auto" w:sz="4" w:space="0"/>
              <w:right w:val="single" w:color="auto" w:sz="4" w:space="0"/>
            </w:tcBorders>
            <w:shd w:val="clear" w:color="auto" w:fill="auto"/>
            <w:vAlign w:val="center"/>
          </w:tcPr>
          <w:p w14:paraId="6A777D8C">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aps w:val="0"/>
                <w:color w:val="auto"/>
                <w:kern w:val="2"/>
                <w:sz w:val="21"/>
                <w:szCs w:val="21"/>
              </w:rPr>
            </w:pPr>
            <w:r>
              <w:rPr>
                <w:rFonts w:hint="default" w:ascii="Times New Roman" w:hAnsi="Times New Roman" w:eastAsia="宋体" w:cs="Times New Roman"/>
                <w:caps w:val="0"/>
                <w:color w:val="auto"/>
                <w:kern w:val="2"/>
                <w:sz w:val="21"/>
                <w:szCs w:val="21"/>
                <w:lang w:val="en-US" w:eastAsia="zh-CN" w:bidi="ar"/>
              </w:rPr>
              <w:t>0.006</w:t>
            </w:r>
          </w:p>
        </w:tc>
      </w:tr>
      <w:tr w14:paraId="0B74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restart"/>
            <w:tcBorders>
              <w:top w:val="nil"/>
              <w:left w:val="single" w:color="auto" w:sz="4" w:space="0"/>
              <w:bottom w:val="single" w:color="auto" w:sz="4" w:space="0"/>
              <w:right w:val="single" w:color="auto" w:sz="4" w:space="0"/>
            </w:tcBorders>
            <w:shd w:val="clear" w:color="auto" w:fill="auto"/>
            <w:vAlign w:val="center"/>
          </w:tcPr>
          <w:p w14:paraId="19F87D8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rPr>
            </w:pPr>
            <w:r>
              <w:rPr>
                <w:rFonts w:hint="eastAsia" w:ascii="宋体" w:hAnsi="宋体" w:eastAsia="宋体" w:cs="宋体"/>
                <w:b w:val="0"/>
                <w:bCs w:val="0"/>
                <w:color w:val="auto"/>
                <w:kern w:val="2"/>
                <w:sz w:val="21"/>
                <w:szCs w:val="21"/>
                <w:lang w:val="en-US" w:eastAsia="zh-CN" w:bidi="ar"/>
              </w:rPr>
              <w:t>废气</w:t>
            </w:r>
          </w:p>
        </w:tc>
        <w:tc>
          <w:tcPr>
            <w:tcW w:w="1512" w:type="dxa"/>
            <w:vMerge w:val="restart"/>
            <w:tcBorders>
              <w:top w:val="nil"/>
              <w:left w:val="single" w:color="auto" w:sz="4" w:space="0"/>
              <w:bottom w:val="single" w:color="auto" w:sz="4" w:space="0"/>
              <w:right w:val="single" w:color="auto" w:sz="4" w:space="0"/>
            </w:tcBorders>
            <w:shd w:val="clear" w:color="auto" w:fill="auto"/>
            <w:vAlign w:val="center"/>
          </w:tcPr>
          <w:p w14:paraId="0A75D4D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rPr>
            </w:pPr>
            <w:r>
              <w:rPr>
                <w:rFonts w:hint="eastAsia" w:ascii="宋体" w:hAnsi="宋体" w:eastAsia="宋体" w:cs="宋体"/>
                <w:b w:val="0"/>
                <w:bCs w:val="0"/>
                <w:color w:val="auto"/>
                <w:kern w:val="2"/>
                <w:sz w:val="21"/>
                <w:szCs w:val="21"/>
                <w:lang w:val="en-US" w:eastAsia="zh-CN" w:bidi="ar"/>
              </w:rPr>
              <w:t>工业烟粉尘</w:t>
            </w: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1A59CC7D">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rPr>
            </w:pPr>
            <w:r>
              <w:rPr>
                <w:rFonts w:hint="eastAsia" w:ascii="宋体" w:hAnsi="宋体" w:eastAsia="宋体" w:cs="宋体"/>
                <w:b w:val="0"/>
                <w:bCs w:val="0"/>
                <w:color w:val="auto"/>
                <w:kern w:val="2"/>
                <w:sz w:val="21"/>
                <w:szCs w:val="21"/>
                <w:lang w:val="en-US" w:eastAsia="zh-CN" w:bidi="ar"/>
              </w:rPr>
              <w:t>有组织</w:t>
            </w:r>
          </w:p>
        </w:tc>
        <w:tc>
          <w:tcPr>
            <w:tcW w:w="1330" w:type="dxa"/>
            <w:tcBorders>
              <w:top w:val="single" w:color="auto" w:sz="4" w:space="0"/>
              <w:left w:val="single" w:color="auto" w:sz="4" w:space="0"/>
              <w:bottom w:val="single" w:color="auto" w:sz="4" w:space="0"/>
              <w:right w:val="single" w:color="auto" w:sz="4" w:space="0"/>
            </w:tcBorders>
            <w:shd w:val="clear" w:color="auto" w:fill="auto"/>
            <w:vAlign w:val="center"/>
          </w:tcPr>
          <w:p w14:paraId="725C9DF9">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0.219</w:t>
            </w:r>
          </w:p>
        </w:tc>
        <w:tc>
          <w:tcPr>
            <w:tcW w:w="13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AB0763">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lang w:val="en-US" w:eastAsia="zh-CN" w:bidi="ar"/>
              </w:rPr>
              <w:t>0.824</w:t>
            </w:r>
          </w:p>
        </w:tc>
        <w:tc>
          <w:tcPr>
            <w:tcW w:w="27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CEC9E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lang w:val="en-US" w:eastAsia="zh-CN" w:bidi="ar"/>
              </w:rPr>
              <w:t>0.717</w:t>
            </w:r>
          </w:p>
        </w:tc>
      </w:tr>
      <w:tr w14:paraId="22F5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4" w:type="dxa"/>
            <w:vMerge w:val="continue"/>
            <w:tcBorders>
              <w:top w:val="nil"/>
              <w:left w:val="single" w:color="auto" w:sz="4" w:space="0"/>
              <w:bottom w:val="single" w:color="auto" w:sz="4" w:space="0"/>
              <w:right w:val="single" w:color="auto" w:sz="4" w:space="0"/>
            </w:tcBorders>
            <w:shd w:val="clear" w:color="auto" w:fill="auto"/>
            <w:vAlign w:val="center"/>
          </w:tcPr>
          <w:p w14:paraId="7BB48B1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512" w:type="dxa"/>
            <w:vMerge w:val="continue"/>
            <w:tcBorders>
              <w:top w:val="nil"/>
              <w:left w:val="single" w:color="auto" w:sz="4" w:space="0"/>
              <w:bottom w:val="single" w:color="auto" w:sz="4" w:space="0"/>
              <w:right w:val="single" w:color="auto" w:sz="4" w:space="0"/>
            </w:tcBorders>
            <w:shd w:val="clear" w:color="auto" w:fill="auto"/>
            <w:vAlign w:val="center"/>
          </w:tcPr>
          <w:p w14:paraId="3D97BA9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14:paraId="6248FA9A">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21"/>
                <w:szCs w:val="21"/>
              </w:rPr>
            </w:pPr>
            <w:r>
              <w:rPr>
                <w:rFonts w:hint="eastAsia" w:ascii="宋体" w:hAnsi="宋体" w:eastAsia="宋体" w:cs="宋体"/>
                <w:b w:val="0"/>
                <w:bCs w:val="0"/>
                <w:color w:val="auto"/>
                <w:kern w:val="2"/>
                <w:sz w:val="21"/>
                <w:szCs w:val="21"/>
                <w:lang w:val="en-US" w:eastAsia="zh-CN" w:bidi="ar"/>
              </w:rPr>
              <w:t>无组织</w:t>
            </w:r>
          </w:p>
        </w:tc>
        <w:tc>
          <w:tcPr>
            <w:tcW w:w="1330" w:type="dxa"/>
            <w:tcBorders>
              <w:top w:val="single" w:color="auto" w:sz="4" w:space="0"/>
              <w:left w:val="single" w:color="auto" w:sz="4" w:space="0"/>
              <w:bottom w:val="single" w:color="auto" w:sz="4" w:space="0"/>
              <w:right w:val="single" w:color="auto" w:sz="4" w:space="0"/>
            </w:tcBorders>
            <w:shd w:val="clear" w:color="auto" w:fill="auto"/>
            <w:vAlign w:val="center"/>
          </w:tcPr>
          <w:p w14:paraId="53D7831F">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0.605</w:t>
            </w:r>
          </w:p>
        </w:tc>
        <w:tc>
          <w:tcPr>
            <w:tcW w:w="13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EB1024">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c>
          <w:tcPr>
            <w:tcW w:w="27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F23D6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rPr>
            </w:pPr>
          </w:p>
        </w:tc>
      </w:tr>
      <w:tr w14:paraId="5287B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62"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0CD0B30">
            <w:pPr>
              <w:keepNext w:val="0"/>
              <w:keepLines w:val="0"/>
              <w:widowControl w:val="0"/>
              <w:suppressLineNumbers w:val="0"/>
              <w:spacing w:before="0" w:beforeAutospacing="0" w:after="0" w:afterAutospacing="0"/>
              <w:ind w:left="0" w:right="0"/>
              <w:jc w:val="both"/>
              <w:rPr>
                <w:rFonts w:hint="eastAsia" w:ascii="Times New Roman" w:hAnsi="Times New Roman" w:eastAsia="宋体" w:cs="Times New Roman"/>
                <w:b w:val="0"/>
                <w:bCs w:val="0"/>
                <w:color w:val="auto"/>
                <w:spacing w:val="0"/>
                <w:kern w:val="2"/>
                <w:sz w:val="21"/>
                <w:szCs w:val="21"/>
              </w:rPr>
            </w:pPr>
            <w:r>
              <w:rPr>
                <w:rFonts w:hint="eastAsia" w:ascii="宋体" w:hAnsi="宋体" w:eastAsia="宋体" w:cs="宋体"/>
                <w:b w:val="0"/>
                <w:bCs w:val="0"/>
                <w:color w:val="auto"/>
                <w:kern w:val="2"/>
                <w:sz w:val="21"/>
                <w:szCs w:val="21"/>
                <w:lang w:val="en-US" w:eastAsia="zh-CN" w:bidi="ar"/>
              </w:rPr>
              <w:t>注：</w:t>
            </w:r>
            <w:r>
              <w:rPr>
                <w:rFonts w:hint="default" w:ascii="Times New Roman" w:hAnsi="Times New Roman" w:eastAsia="宋体" w:cs="Times New Roman"/>
                <w:b w:val="0"/>
                <w:bCs w:val="0"/>
                <w:color w:val="auto"/>
                <w:spacing w:val="0"/>
                <w:kern w:val="2"/>
                <w:sz w:val="21"/>
                <w:szCs w:val="21"/>
                <w:lang w:val="en-US" w:eastAsia="zh-CN" w:bidi="ar"/>
              </w:rPr>
              <w:t>1</w:t>
            </w:r>
            <w:r>
              <w:rPr>
                <w:rFonts w:hint="eastAsia" w:ascii="宋体" w:hAnsi="宋体" w:eastAsia="宋体" w:cs="宋体"/>
                <w:b w:val="0"/>
                <w:bCs w:val="0"/>
                <w:color w:val="auto"/>
                <w:spacing w:val="0"/>
                <w:kern w:val="2"/>
                <w:sz w:val="21"/>
                <w:szCs w:val="21"/>
                <w:lang w:val="en-US" w:eastAsia="zh-CN" w:bidi="ar"/>
              </w:rPr>
              <w:t>、工业烟粉尘实际有组织排放量为</w:t>
            </w:r>
            <w:r>
              <w:rPr>
                <w:rFonts w:hint="default" w:ascii="Times New Roman" w:hAnsi="Times New Roman" w:eastAsia="宋体" w:cs="Times New Roman"/>
                <w:b w:val="0"/>
                <w:bCs w:val="0"/>
                <w:color w:val="auto"/>
                <w:spacing w:val="0"/>
                <w:kern w:val="2"/>
                <w:sz w:val="21"/>
                <w:szCs w:val="21"/>
                <w:lang w:val="en-US" w:eastAsia="zh-CN" w:bidi="ar"/>
              </w:rPr>
              <w:t>0.112t/a</w:t>
            </w:r>
            <w:r>
              <w:rPr>
                <w:rFonts w:hint="eastAsia" w:ascii="宋体" w:hAnsi="宋体" w:eastAsia="宋体" w:cs="宋体"/>
                <w:b w:val="0"/>
                <w:bCs w:val="0"/>
                <w:color w:val="auto"/>
                <w:spacing w:val="0"/>
                <w:kern w:val="2"/>
                <w:sz w:val="21"/>
                <w:szCs w:val="21"/>
                <w:lang w:val="en-US" w:eastAsia="zh-CN" w:bidi="ar"/>
              </w:rPr>
              <w:t>，实际排放量</w:t>
            </w:r>
            <w:r>
              <w:rPr>
                <w:rFonts w:hint="default" w:ascii="Times New Roman" w:hAnsi="Times New Roman" w:eastAsia="宋体" w:cs="Times New Roman"/>
                <w:b w:val="0"/>
                <w:bCs w:val="0"/>
                <w:color w:val="auto"/>
                <w:spacing w:val="0"/>
                <w:kern w:val="2"/>
                <w:sz w:val="21"/>
                <w:szCs w:val="21"/>
                <w:lang w:val="en-US" w:eastAsia="zh-CN" w:bidi="ar"/>
              </w:rPr>
              <w:t>=</w:t>
            </w:r>
            <w:r>
              <w:rPr>
                <w:rFonts w:hint="eastAsia" w:ascii="宋体" w:hAnsi="宋体" w:eastAsia="宋体" w:cs="宋体"/>
                <w:b w:val="0"/>
                <w:bCs w:val="0"/>
                <w:color w:val="auto"/>
                <w:spacing w:val="0"/>
                <w:kern w:val="2"/>
                <w:sz w:val="21"/>
                <w:szCs w:val="21"/>
                <w:lang w:val="en-US" w:eastAsia="zh-CN" w:bidi="ar"/>
              </w:rPr>
              <w:t>实际有组织排放量</w:t>
            </w:r>
            <w:r>
              <w:rPr>
                <w:rFonts w:hint="default" w:ascii="Times New Roman" w:hAnsi="Times New Roman" w:eastAsia="宋体" w:cs="Times New Roman"/>
                <w:b w:val="0"/>
                <w:bCs w:val="0"/>
                <w:color w:val="auto"/>
                <w:spacing w:val="0"/>
                <w:kern w:val="2"/>
                <w:sz w:val="21"/>
                <w:szCs w:val="21"/>
                <w:lang w:val="en-US" w:eastAsia="zh-CN" w:bidi="ar"/>
              </w:rPr>
              <w:t>+</w:t>
            </w:r>
            <w:r>
              <w:rPr>
                <w:rFonts w:hint="eastAsia" w:ascii="宋体" w:hAnsi="宋体" w:eastAsia="宋体" w:cs="宋体"/>
                <w:b w:val="0"/>
                <w:bCs w:val="0"/>
                <w:color w:val="auto"/>
                <w:spacing w:val="0"/>
                <w:kern w:val="2"/>
                <w:sz w:val="21"/>
                <w:szCs w:val="21"/>
                <w:lang w:val="en-US" w:eastAsia="zh-CN" w:bidi="ar"/>
              </w:rPr>
              <w:t>审批无组织排放量</w:t>
            </w:r>
            <w:r>
              <w:rPr>
                <w:rFonts w:hint="default" w:ascii="Times New Roman" w:hAnsi="Times New Roman" w:eastAsia="宋体" w:cs="Times New Roman"/>
                <w:b w:val="0"/>
                <w:bCs w:val="0"/>
                <w:color w:val="auto"/>
                <w:spacing w:val="0"/>
                <w:kern w:val="2"/>
                <w:sz w:val="21"/>
                <w:szCs w:val="21"/>
                <w:lang w:val="en-US" w:eastAsia="zh-CN" w:bidi="ar"/>
              </w:rPr>
              <w:t>=0.112+0.605=0.717t/a</w:t>
            </w:r>
            <w:r>
              <w:rPr>
                <w:rFonts w:hint="eastAsia" w:ascii="宋体" w:hAnsi="宋体" w:eastAsia="宋体" w:cs="宋体"/>
                <w:b w:val="0"/>
                <w:bCs w:val="0"/>
                <w:color w:val="auto"/>
                <w:spacing w:val="0"/>
                <w:kern w:val="2"/>
                <w:sz w:val="21"/>
                <w:szCs w:val="21"/>
                <w:lang w:val="en-US" w:eastAsia="zh-CN" w:bidi="ar"/>
              </w:rPr>
              <w:t>。</w:t>
            </w:r>
          </w:p>
          <w:p w14:paraId="740B453D">
            <w:pPr>
              <w:keepNext w:val="0"/>
              <w:keepLines w:val="0"/>
              <w:widowControl w:val="0"/>
              <w:suppressLineNumbers w:val="0"/>
              <w:spacing w:before="0" w:beforeAutospacing="0" w:after="0" w:afterAutospacing="0"/>
              <w:ind w:left="0" w:right="0" w:rightChars="0" w:firstLine="420" w:firstLineChars="200"/>
              <w:jc w:val="both"/>
              <w:rPr>
                <w:rFonts w:hint="default" w:ascii="Times New Roman" w:hAnsi="Times New Roman" w:eastAsia="宋体" w:cs="Times New Roman"/>
                <w:b w:val="0"/>
                <w:bCs w:val="0"/>
                <w:color w:val="auto"/>
                <w:spacing w:val="0"/>
                <w:kern w:val="2"/>
                <w:sz w:val="21"/>
                <w:szCs w:val="21"/>
              </w:rPr>
            </w:pPr>
            <w:r>
              <w:rPr>
                <w:rFonts w:hint="default" w:ascii="Times New Roman" w:hAnsi="Times New Roman" w:eastAsia="宋体" w:cs="Times New Roman"/>
                <w:b w:val="0"/>
                <w:bCs w:val="0"/>
                <w:color w:val="auto"/>
                <w:spacing w:val="0"/>
                <w:kern w:val="2"/>
                <w:sz w:val="21"/>
                <w:szCs w:val="21"/>
                <w:lang w:val="en-US" w:eastAsia="zh-CN" w:bidi="ar"/>
              </w:rPr>
              <w:t>2</w:t>
            </w:r>
            <w:r>
              <w:rPr>
                <w:rFonts w:hint="eastAsia" w:ascii="宋体" w:hAnsi="宋体" w:eastAsia="宋体" w:cs="宋体"/>
                <w:b w:val="0"/>
                <w:bCs w:val="0"/>
                <w:color w:val="auto"/>
                <w:spacing w:val="0"/>
                <w:kern w:val="2"/>
                <w:sz w:val="21"/>
                <w:szCs w:val="21"/>
                <w:lang w:val="en-US" w:eastAsia="zh-CN" w:bidi="ar"/>
              </w:rPr>
              <w:t>、验收监测期间，生产负荷为</w:t>
            </w:r>
            <w:r>
              <w:rPr>
                <w:rFonts w:hint="default" w:ascii="Times New Roman" w:hAnsi="Times New Roman" w:eastAsia="宋体" w:cs="Times New Roman"/>
                <w:b w:val="0"/>
                <w:bCs w:val="0"/>
                <w:color w:val="auto"/>
                <w:spacing w:val="0"/>
                <w:kern w:val="2"/>
                <w:sz w:val="21"/>
                <w:szCs w:val="21"/>
                <w:lang w:val="en-US" w:eastAsia="zh-CN" w:bidi="ar"/>
              </w:rPr>
              <w:t>100%</w:t>
            </w:r>
            <w:r>
              <w:rPr>
                <w:rFonts w:hint="eastAsia" w:ascii="宋体" w:hAnsi="宋体" w:eastAsia="宋体" w:cs="宋体"/>
                <w:b w:val="0"/>
                <w:bCs w:val="0"/>
                <w:color w:val="auto"/>
                <w:spacing w:val="0"/>
                <w:kern w:val="2"/>
                <w:sz w:val="21"/>
                <w:szCs w:val="21"/>
                <w:lang w:val="en-US" w:eastAsia="zh-CN" w:bidi="ar"/>
              </w:rPr>
              <w:t>。</w:t>
            </w:r>
          </w:p>
        </w:tc>
      </w:tr>
    </w:tbl>
    <w:p w14:paraId="78954F38">
      <w:pPr>
        <w:spacing w:line="360" w:lineRule="auto"/>
        <w:ind w:firstLine="480" w:firstLineChars="200"/>
        <w:outlineLvl w:val="0"/>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rPr>
        <w:t>根据上表可知，本项目实际主要污染物排放总量控制指标</w:t>
      </w:r>
      <w:r>
        <w:rPr>
          <w:rFonts w:hint="default" w:ascii="Times New Roman" w:hAnsi="Times New Roman" w:eastAsia="宋体" w:cs="Times New Roman"/>
          <w:color w:val="auto"/>
          <w:kern w:val="2"/>
          <w:sz w:val="24"/>
          <w:szCs w:val="24"/>
          <w:highlight w:val="none"/>
        </w:rPr>
        <w:t>COD</w:t>
      </w:r>
      <w:r>
        <w:rPr>
          <w:rFonts w:hint="default" w:ascii="Times New Roman" w:hAnsi="Times New Roman" w:eastAsia="宋体" w:cs="Times New Roman"/>
          <w:color w:val="auto"/>
          <w:kern w:val="2"/>
          <w:sz w:val="24"/>
          <w:szCs w:val="24"/>
          <w:highlight w:val="none"/>
          <w:vertAlign w:val="subscript"/>
        </w:rPr>
        <w:t>Cr</w:t>
      </w:r>
      <w:r>
        <w:rPr>
          <w:rFonts w:hint="eastAsia" w:ascii="宋体" w:hAnsi="宋体" w:eastAsia="宋体" w:cs="宋体"/>
          <w:color w:val="auto"/>
          <w:kern w:val="2"/>
          <w:sz w:val="24"/>
          <w:szCs w:val="24"/>
          <w:highlight w:val="none"/>
        </w:rPr>
        <w:t>、</w:t>
      </w:r>
      <w:r>
        <w:rPr>
          <w:rFonts w:hint="default" w:ascii="Times New Roman" w:hAnsi="Times New Roman" w:eastAsia="宋体" w:cs="Times New Roman"/>
          <w:color w:val="auto"/>
          <w:kern w:val="2"/>
          <w:sz w:val="24"/>
          <w:szCs w:val="24"/>
          <w:highlight w:val="none"/>
        </w:rPr>
        <w:t>NH</w:t>
      </w:r>
      <w:r>
        <w:rPr>
          <w:rFonts w:hint="default" w:ascii="Times New Roman" w:hAnsi="Times New Roman" w:eastAsia="宋体" w:cs="Times New Roman"/>
          <w:color w:val="auto"/>
          <w:kern w:val="2"/>
          <w:sz w:val="24"/>
          <w:szCs w:val="24"/>
          <w:highlight w:val="none"/>
          <w:vertAlign w:val="subscript"/>
        </w:rPr>
        <w:t>3</w:t>
      </w:r>
      <w:r>
        <w:rPr>
          <w:rFonts w:hint="default" w:ascii="Times New Roman" w:hAnsi="Times New Roman" w:eastAsia="宋体" w:cs="Times New Roman"/>
          <w:color w:val="auto"/>
          <w:kern w:val="2"/>
          <w:sz w:val="24"/>
          <w:szCs w:val="24"/>
          <w:highlight w:val="none"/>
        </w:rPr>
        <w:t>-N</w:t>
      </w:r>
      <w:r>
        <w:rPr>
          <w:rFonts w:hint="eastAsia" w:ascii="宋体" w:hAnsi="宋体" w:eastAsia="宋体" w:cs="宋体"/>
          <w:color w:val="auto"/>
          <w:kern w:val="2"/>
          <w:sz w:val="24"/>
          <w:szCs w:val="24"/>
          <w:highlight w:val="none"/>
        </w:rPr>
        <w:t>和工业烟粉尘均在环评审批的总量控制指标范围内</w:t>
      </w:r>
      <w:r>
        <w:rPr>
          <w:rFonts w:hint="eastAsia" w:ascii="宋体" w:hAnsi="宋体" w:eastAsia="宋体" w:cs="宋体"/>
          <w:color w:val="auto"/>
          <w:kern w:val="2"/>
          <w:sz w:val="24"/>
          <w:szCs w:val="24"/>
          <w:highlight w:val="none"/>
          <w:lang w:eastAsia="zh-CN"/>
        </w:rPr>
        <w:t>。</w:t>
      </w:r>
    </w:p>
    <w:p w14:paraId="33A910E5">
      <w:pPr>
        <w:spacing w:line="360" w:lineRule="auto"/>
        <w:ind w:firstLine="482" w:firstLineChars="200"/>
        <w:outlineLvl w:val="0"/>
        <w:rPr>
          <w:rFonts w:hint="default" w:ascii="Times New Roman" w:hAnsi="Times New Roman" w:eastAsia="宋体" w:cs="Times New Roman"/>
          <w:b/>
          <w:color w:val="auto"/>
          <w:kern w:val="0"/>
          <w:sz w:val="24"/>
          <w:highlight w:val="none"/>
        </w:rPr>
      </w:pPr>
      <w:r>
        <w:rPr>
          <w:rFonts w:hint="default" w:ascii="Times New Roman" w:hAnsi="Times New Roman" w:eastAsia="宋体" w:cs="Times New Roman"/>
          <w:b/>
          <w:color w:val="auto"/>
          <w:kern w:val="0"/>
          <w:sz w:val="24"/>
          <w:highlight w:val="none"/>
        </w:rPr>
        <w:t>五、工程建设对环境的影响</w:t>
      </w:r>
    </w:p>
    <w:p w14:paraId="6BC23F8A">
      <w:pPr>
        <w:spacing w:line="360" w:lineRule="auto"/>
        <w:ind w:firstLine="480" w:firstLineChars="200"/>
        <w:rPr>
          <w:rFonts w:hint="default" w:ascii="Times New Roman" w:hAnsi="Times New Roman" w:eastAsia="宋体" w:cs="Times New Roman"/>
          <w:color w:val="auto"/>
          <w:kern w:val="0"/>
          <w:sz w:val="24"/>
          <w:highlight w:val="none"/>
        </w:rPr>
      </w:pPr>
      <w:r>
        <w:rPr>
          <w:rFonts w:ascii="Times New Roman" w:hAnsi="Times New Roman" w:eastAsia="宋体"/>
          <w:color w:val="auto"/>
          <w:kern w:val="0"/>
          <w:sz w:val="24"/>
          <w:szCs w:val="24"/>
          <w:highlight w:val="none"/>
        </w:rPr>
        <w:t>依据《建设项目竣工环境保护验收暂行办法</w:t>
      </w:r>
      <w:r>
        <w:rPr>
          <w:rFonts w:hint="eastAsia" w:ascii="Times New Roman" w:hAnsi="Times New Roman"/>
          <w:color w:val="auto"/>
          <w:kern w:val="0"/>
          <w:sz w:val="24"/>
          <w:szCs w:val="24"/>
          <w:highlight w:val="none"/>
          <w:lang w:eastAsia="zh-CN"/>
        </w:rPr>
        <w:t>》《</w:t>
      </w:r>
      <w:r>
        <w:rPr>
          <w:rFonts w:hint="eastAsia" w:ascii="Times New Roman" w:hAnsi="Times New Roman" w:cs="Times New Roman"/>
          <w:b w:val="0"/>
          <w:bCs w:val="0"/>
          <w:color w:val="auto"/>
          <w:sz w:val="24"/>
          <w:szCs w:val="24"/>
          <w:highlight w:val="none"/>
          <w:lang w:val="en-US" w:eastAsia="zh-CN"/>
        </w:rPr>
        <w:t>浙江全和兴金属制品有限公司（原德清瑞盛金属制品有限公司）年产30000吨钢管项目</w:t>
      </w:r>
      <w:r>
        <w:rPr>
          <w:rFonts w:hint="eastAsia" w:ascii="Times New Roman" w:hAnsi="Times New Roman"/>
          <w:color w:val="auto"/>
          <w:kern w:val="0"/>
          <w:sz w:val="24"/>
          <w:szCs w:val="24"/>
          <w:highlight w:val="none"/>
          <w:lang w:val="en-US" w:eastAsia="zh-CN"/>
        </w:rPr>
        <w:t>竣工环境保护</w:t>
      </w:r>
      <w:r>
        <w:rPr>
          <w:rFonts w:ascii="Times New Roman" w:hAnsi="Times New Roman" w:eastAsia="宋体"/>
          <w:color w:val="auto"/>
          <w:kern w:val="0"/>
          <w:sz w:val="24"/>
          <w:szCs w:val="24"/>
          <w:highlight w:val="none"/>
        </w:rPr>
        <w:t>验收监测报告表》等资料及环境保护设施现场检查情况，</w:t>
      </w:r>
      <w:r>
        <w:rPr>
          <w:rFonts w:hint="eastAsia" w:ascii="Times New Roman" w:hAnsi="Times New Roman" w:cs="Times New Roman"/>
          <w:color w:val="auto"/>
          <w:kern w:val="0"/>
          <w:sz w:val="24"/>
          <w:highlight w:val="none"/>
          <w:lang w:val="en-US" w:eastAsia="zh-CN"/>
        </w:rPr>
        <w:t>浙江全和兴金属制品有限公司（原德清瑞盛金属制品有限公司）年产30000吨钢管项目</w:t>
      </w:r>
      <w:r>
        <w:rPr>
          <w:rFonts w:ascii="Times New Roman" w:hAnsi="Times New Roman" w:eastAsia="宋体"/>
          <w:color w:val="auto"/>
          <w:kern w:val="0"/>
          <w:sz w:val="24"/>
          <w:szCs w:val="24"/>
          <w:highlight w:val="none"/>
        </w:rPr>
        <w:t>环保手续齐全，污染防治措施基本按照环评及</w:t>
      </w:r>
      <w:r>
        <w:rPr>
          <w:rFonts w:hint="eastAsia" w:ascii="Times New Roman" w:hAnsi="Times New Roman" w:eastAsia="宋体"/>
          <w:color w:val="auto"/>
          <w:kern w:val="0"/>
          <w:sz w:val="24"/>
          <w:szCs w:val="24"/>
          <w:highlight w:val="none"/>
          <w:lang w:val="en-US" w:eastAsia="zh-CN"/>
        </w:rPr>
        <w:t>备案承诺书</w:t>
      </w:r>
      <w:r>
        <w:rPr>
          <w:rFonts w:ascii="Times New Roman" w:hAnsi="Times New Roman" w:eastAsia="宋体"/>
          <w:color w:val="auto"/>
          <w:kern w:val="0"/>
          <w:sz w:val="24"/>
          <w:szCs w:val="24"/>
          <w:highlight w:val="none"/>
        </w:rPr>
        <w:t>要求落实；经验收监测，废气、废水、噪声</w:t>
      </w:r>
      <w:r>
        <w:rPr>
          <w:rFonts w:hint="eastAsia" w:ascii="Times New Roman" w:hAnsi="Times New Roman"/>
          <w:color w:val="auto"/>
          <w:kern w:val="0"/>
          <w:sz w:val="24"/>
          <w:szCs w:val="24"/>
          <w:highlight w:val="none"/>
          <w:lang w:val="en-US" w:eastAsia="zh-CN"/>
        </w:rPr>
        <w:t>数据均能</w:t>
      </w:r>
      <w:r>
        <w:rPr>
          <w:rFonts w:ascii="Times New Roman" w:hAnsi="Times New Roman" w:eastAsia="宋体"/>
          <w:color w:val="auto"/>
          <w:kern w:val="0"/>
          <w:sz w:val="24"/>
          <w:szCs w:val="24"/>
          <w:highlight w:val="none"/>
        </w:rPr>
        <w:t>达标，固体废物能得到妥善处置，因此该项目符合申请建设项目竣工环境保护自主验收条件项目，不存在《建设项目竣工环境保护验收暂行办法》第八条中所列验收不合格的情形，符合竣工环境保护验收条件，验收结论为合格。</w:t>
      </w:r>
    </w:p>
    <w:p w14:paraId="7252CFA8">
      <w:pPr>
        <w:spacing w:line="360" w:lineRule="auto"/>
        <w:ind w:firstLine="482" w:firstLineChars="200"/>
        <w:outlineLvl w:val="0"/>
        <w:rPr>
          <w:rFonts w:hint="default" w:ascii="Times New Roman" w:hAnsi="Times New Roman" w:eastAsia="宋体" w:cs="Times New Roman"/>
          <w:b/>
          <w:color w:val="auto"/>
          <w:kern w:val="0"/>
          <w:sz w:val="24"/>
          <w:highlight w:val="none"/>
        </w:rPr>
      </w:pPr>
      <w:r>
        <w:rPr>
          <w:rFonts w:hint="eastAsia" w:ascii="Times New Roman" w:hAnsi="Times New Roman" w:cs="Times New Roman"/>
          <w:b/>
          <w:color w:val="auto"/>
          <w:kern w:val="0"/>
          <w:sz w:val="24"/>
          <w:highlight w:val="none"/>
          <w:lang w:val="en-US" w:eastAsia="zh-CN"/>
        </w:rPr>
        <w:t>六</w:t>
      </w:r>
      <w:r>
        <w:rPr>
          <w:rFonts w:hint="default" w:ascii="Times New Roman" w:hAnsi="Times New Roman" w:eastAsia="宋体" w:cs="Times New Roman"/>
          <w:b/>
          <w:color w:val="auto"/>
          <w:kern w:val="0"/>
          <w:sz w:val="24"/>
          <w:highlight w:val="none"/>
        </w:rPr>
        <w:t>、后续要求</w:t>
      </w:r>
    </w:p>
    <w:p w14:paraId="59DAF5E2">
      <w:pPr>
        <w:spacing w:line="360" w:lineRule="auto"/>
        <w:ind w:firstLine="424" w:firstLineChars="177"/>
        <w:rPr>
          <w:rFonts w:ascii="Times New Roman" w:hAnsi="Times New Roman" w:eastAsia="宋体"/>
          <w:color w:val="auto"/>
          <w:kern w:val="0"/>
          <w:sz w:val="24"/>
          <w:highlight w:val="none"/>
        </w:rPr>
      </w:pPr>
      <w:r>
        <w:rPr>
          <w:rFonts w:ascii="Times New Roman" w:hAnsi="Times New Roman" w:eastAsia="宋体"/>
          <w:color w:val="auto"/>
          <w:kern w:val="0"/>
          <w:sz w:val="24"/>
          <w:highlight w:val="none"/>
        </w:rPr>
        <w:t>（一）完善生产设施和环保设施标识标牌，完善企业环保管理制度，完善各类台账建设。</w:t>
      </w:r>
    </w:p>
    <w:p w14:paraId="1B9F4D1D">
      <w:pPr>
        <w:spacing w:line="360" w:lineRule="auto"/>
        <w:ind w:firstLine="424" w:firstLineChars="177"/>
        <w:rPr>
          <w:rFonts w:ascii="Times New Roman" w:hAnsi="Times New Roman" w:eastAsia="宋体"/>
          <w:color w:val="auto"/>
          <w:kern w:val="0"/>
          <w:sz w:val="24"/>
          <w:highlight w:val="none"/>
        </w:rPr>
      </w:pPr>
      <w:r>
        <w:rPr>
          <w:rFonts w:ascii="Times New Roman" w:hAnsi="Times New Roman" w:eastAsia="宋体"/>
          <w:color w:val="auto"/>
          <w:kern w:val="0"/>
          <w:sz w:val="24"/>
          <w:highlight w:val="none"/>
        </w:rPr>
        <w:t>（二）进一步加强对</w:t>
      </w:r>
      <w:r>
        <w:rPr>
          <w:rFonts w:hint="eastAsia" w:ascii="Times New Roman" w:hAnsi="Times New Roman"/>
          <w:color w:val="auto"/>
          <w:kern w:val="0"/>
          <w:sz w:val="24"/>
          <w:highlight w:val="none"/>
          <w:lang w:val="en-US" w:eastAsia="zh-CN"/>
        </w:rPr>
        <w:t>废气</w:t>
      </w:r>
      <w:r>
        <w:rPr>
          <w:rFonts w:ascii="Times New Roman" w:hAnsi="Times New Roman" w:eastAsia="宋体"/>
          <w:color w:val="auto"/>
          <w:kern w:val="0"/>
          <w:sz w:val="24"/>
          <w:highlight w:val="none"/>
        </w:rPr>
        <w:t>处理设施的日常管理和维护，确保长期稳定达标排放。</w:t>
      </w:r>
    </w:p>
    <w:p w14:paraId="613F4A72">
      <w:pPr>
        <w:pStyle w:val="6"/>
        <w:spacing w:line="360" w:lineRule="auto"/>
        <w:ind w:left="0" w:firstLine="405" w:firstLineChars="169"/>
        <w:rPr>
          <w:rFonts w:ascii="Times New Roman" w:hAnsi="Times New Roman" w:eastAsia="宋体"/>
          <w:color w:val="auto"/>
          <w:kern w:val="0"/>
          <w:sz w:val="24"/>
          <w:highlight w:val="none"/>
        </w:rPr>
      </w:pPr>
      <w:r>
        <w:rPr>
          <w:rFonts w:ascii="Times New Roman" w:hAnsi="Times New Roman" w:eastAsia="宋体"/>
          <w:color w:val="auto"/>
          <w:kern w:val="0"/>
          <w:sz w:val="24"/>
          <w:highlight w:val="none"/>
        </w:rPr>
        <w:t>（</w:t>
      </w:r>
      <w:r>
        <w:rPr>
          <w:rFonts w:hint="eastAsia" w:ascii="Times New Roman" w:hAnsi="Times New Roman" w:eastAsia="宋体"/>
          <w:color w:val="auto"/>
          <w:kern w:val="0"/>
          <w:sz w:val="24"/>
          <w:highlight w:val="none"/>
          <w:lang w:val="en-US" w:eastAsia="zh-CN"/>
        </w:rPr>
        <w:t>三</w:t>
      </w:r>
      <w:r>
        <w:rPr>
          <w:rFonts w:ascii="Times New Roman" w:hAnsi="Times New Roman" w:eastAsia="宋体"/>
          <w:color w:val="auto"/>
          <w:kern w:val="0"/>
          <w:sz w:val="24"/>
          <w:highlight w:val="none"/>
        </w:rPr>
        <w:t>）建议企业加强日常环保管理和环境风险防范与应急事件处置能力，并开展演练。</w:t>
      </w:r>
    </w:p>
    <w:p w14:paraId="5ADC12C0">
      <w:pPr>
        <w:spacing w:line="360" w:lineRule="auto"/>
        <w:ind w:firstLine="482" w:firstLineChars="200"/>
        <w:outlineLvl w:val="0"/>
        <w:rPr>
          <w:rFonts w:hint="eastAsia" w:ascii="Times New Roman" w:hAnsi="Times New Roman" w:eastAsia="宋体" w:cs="Times New Roman"/>
          <w:b/>
          <w:color w:val="auto"/>
          <w:kern w:val="0"/>
          <w:sz w:val="24"/>
          <w:highlight w:val="none"/>
          <w:lang w:val="en-US" w:eastAsia="zh-CN"/>
        </w:rPr>
      </w:pPr>
      <w:r>
        <w:rPr>
          <w:rFonts w:hint="eastAsia" w:ascii="Times New Roman" w:hAnsi="Times New Roman" w:cs="Times New Roman"/>
          <w:b/>
          <w:color w:val="auto"/>
          <w:kern w:val="0"/>
          <w:sz w:val="24"/>
          <w:highlight w:val="none"/>
          <w:lang w:val="en-US" w:eastAsia="zh-CN"/>
        </w:rPr>
        <w:t>七</w:t>
      </w:r>
      <w:r>
        <w:rPr>
          <w:rFonts w:hint="default" w:ascii="Times New Roman" w:hAnsi="Times New Roman" w:eastAsia="宋体" w:cs="Times New Roman"/>
          <w:b/>
          <w:color w:val="auto"/>
          <w:kern w:val="0"/>
          <w:sz w:val="24"/>
          <w:highlight w:val="none"/>
        </w:rPr>
        <w:t>、验收人员</w:t>
      </w:r>
      <w:r>
        <w:rPr>
          <w:rFonts w:hint="eastAsia" w:ascii="Times New Roman" w:hAnsi="Times New Roman" w:cs="Times New Roman"/>
          <w:b/>
          <w:color w:val="auto"/>
          <w:kern w:val="0"/>
          <w:sz w:val="24"/>
          <w:highlight w:val="none"/>
          <w:lang w:val="en-US" w:eastAsia="zh-CN"/>
        </w:rPr>
        <w:t>信息</w:t>
      </w:r>
    </w:p>
    <w:p w14:paraId="1B1762BB">
      <w:pPr>
        <w:spacing w:line="360" w:lineRule="auto"/>
        <w:ind w:firstLine="480" w:firstLineChars="200"/>
        <w:jc w:val="both"/>
        <w:rPr>
          <w:rFonts w:hint="eastAsia" w:ascii="Times New Roman" w:hAnsi="Times New Roman" w:cs="Times New Roman"/>
          <w:b w:val="0"/>
          <w:bCs w:val="0"/>
          <w:color w:val="auto"/>
          <w:sz w:val="24"/>
          <w:szCs w:val="24"/>
          <w:highlight w:val="none"/>
          <w:lang w:eastAsia="zh-CN"/>
        </w:rPr>
      </w:pPr>
      <w:r>
        <w:rPr>
          <w:rFonts w:hint="eastAsia" w:ascii="Times New Roman" w:hAnsi="Times New Roman" w:cs="Times New Roman"/>
          <w:b w:val="0"/>
          <w:bCs w:val="0"/>
          <w:color w:val="auto"/>
          <w:sz w:val="24"/>
          <w:szCs w:val="24"/>
          <w:highlight w:val="none"/>
          <w:lang w:eastAsia="zh-CN"/>
        </w:rPr>
        <w:t>验收工作组成员名单及信息附后。</w:t>
      </w:r>
    </w:p>
    <w:p w14:paraId="00EBBCDD">
      <w:pPr>
        <w:spacing w:line="360" w:lineRule="auto"/>
        <w:ind w:firstLine="480" w:firstLineChars="200"/>
        <w:jc w:val="right"/>
        <w:rPr>
          <w:rFonts w:hint="eastAsia" w:ascii="Times New Roman" w:hAnsi="Times New Roman" w:cs="Times New Roman"/>
          <w:b w:val="0"/>
          <w:bCs w:val="0"/>
          <w:color w:val="auto"/>
          <w:sz w:val="24"/>
          <w:szCs w:val="24"/>
          <w:highlight w:val="none"/>
          <w:lang w:val="en-US" w:eastAsia="zh-CN"/>
        </w:rPr>
      </w:pPr>
    </w:p>
    <w:p w14:paraId="7A1CE886">
      <w:pPr>
        <w:spacing w:line="360" w:lineRule="auto"/>
        <w:ind w:firstLine="480" w:firstLineChars="200"/>
        <w:jc w:val="both"/>
        <w:rPr>
          <w:rFonts w:hint="eastAsia" w:ascii="Times New Roman" w:hAnsi="Times New Roman" w:cs="Times New Roman"/>
          <w:b w:val="0"/>
          <w:bCs w:val="0"/>
          <w:color w:val="auto"/>
          <w:sz w:val="24"/>
          <w:szCs w:val="24"/>
          <w:highlight w:val="none"/>
          <w:lang w:val="en-US" w:eastAsia="zh-CN"/>
        </w:rPr>
      </w:pPr>
    </w:p>
    <w:p w14:paraId="14FC6753">
      <w:pPr>
        <w:spacing w:line="360" w:lineRule="auto"/>
        <w:ind w:firstLine="480" w:firstLineChars="200"/>
        <w:jc w:val="right"/>
        <w:rPr>
          <w:rFonts w:hint="eastAsia" w:ascii="Times New Roman" w:hAnsi="Times New Roman" w:cs="Times New Roman"/>
          <w:b w:val="0"/>
          <w:bCs w:val="0"/>
          <w:color w:val="auto"/>
          <w:sz w:val="24"/>
          <w:szCs w:val="24"/>
          <w:highlight w:val="none"/>
          <w:lang w:val="en-US" w:eastAsia="zh-CN"/>
        </w:rPr>
      </w:pPr>
    </w:p>
    <w:p w14:paraId="6B91CA92">
      <w:pPr>
        <w:spacing w:line="360" w:lineRule="auto"/>
        <w:ind w:firstLine="480" w:firstLineChars="200"/>
        <w:jc w:val="right"/>
        <w:rPr>
          <w:rFonts w:hint="eastAsia"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浙江全和兴金属制品有限公司（原德清瑞盛金属制品有限公司）</w:t>
      </w:r>
    </w:p>
    <w:p w14:paraId="65FC8BD8">
      <w:pPr>
        <w:spacing w:line="360" w:lineRule="auto"/>
        <w:ind w:firstLine="480" w:firstLineChars="200"/>
        <w:jc w:val="right"/>
        <w:rPr>
          <w:rFonts w:hint="default" w:ascii="Times New Roman" w:hAnsi="Times New Roman" w:eastAsia="宋体" w:cs="Times New Roman"/>
          <w:color w:val="auto"/>
          <w:kern w:val="0"/>
          <w:sz w:val="24"/>
          <w:highlight w:val="none"/>
        </w:rPr>
      </w:pPr>
      <w:r>
        <w:rPr>
          <w:rFonts w:hint="eastAsia" w:ascii="Times New Roman" w:hAnsi="Times New Roman" w:cs="Times New Roman"/>
          <w:color w:val="auto"/>
          <w:kern w:val="0"/>
          <w:sz w:val="24"/>
          <w:highlight w:val="none"/>
          <w:lang w:val="en-US" w:eastAsia="zh-CN"/>
        </w:rPr>
        <w:t>2026</w:t>
      </w:r>
      <w:r>
        <w:rPr>
          <w:rFonts w:hint="default" w:ascii="Times New Roman" w:hAnsi="Times New Roman" w:eastAsia="宋体" w:cs="Times New Roman"/>
          <w:color w:val="auto"/>
          <w:kern w:val="0"/>
          <w:sz w:val="24"/>
          <w:highlight w:val="none"/>
        </w:rPr>
        <w:t>年</w:t>
      </w:r>
      <w:r>
        <w:rPr>
          <w:rFonts w:hint="eastAsia" w:ascii="Times New Roman" w:hAnsi="Times New Roman" w:cs="Times New Roman"/>
          <w:color w:val="auto"/>
          <w:kern w:val="0"/>
          <w:sz w:val="24"/>
          <w:highlight w:val="none"/>
          <w:lang w:val="en-US" w:eastAsia="zh-CN"/>
        </w:rPr>
        <w:t>8</w:t>
      </w:r>
      <w:r>
        <w:rPr>
          <w:rFonts w:hint="default" w:ascii="Times New Roman" w:hAnsi="Times New Roman" w:eastAsia="宋体" w:cs="Times New Roman"/>
          <w:color w:val="auto"/>
          <w:kern w:val="0"/>
          <w:sz w:val="24"/>
          <w:highlight w:val="none"/>
        </w:rPr>
        <w:t>月</w:t>
      </w:r>
      <w:r>
        <w:rPr>
          <w:rFonts w:hint="eastAsia" w:ascii="Times New Roman" w:hAnsi="Times New Roman" w:cs="Times New Roman"/>
          <w:color w:val="auto"/>
          <w:kern w:val="0"/>
          <w:sz w:val="24"/>
          <w:highlight w:val="none"/>
          <w:lang w:val="en-US" w:eastAsia="zh-CN"/>
        </w:rPr>
        <w:t>6</w:t>
      </w:r>
      <w:r>
        <w:rPr>
          <w:rFonts w:hint="default" w:ascii="Times New Roman" w:hAnsi="Times New Roman" w:eastAsia="宋体" w:cs="Times New Roman"/>
          <w:color w:val="auto"/>
          <w:kern w:val="0"/>
          <w:sz w:val="24"/>
          <w:highlight w:val="none"/>
        </w:rPr>
        <w:t>日</w:t>
      </w:r>
    </w:p>
    <w:p w14:paraId="18FB6A04">
      <w:pPr>
        <w:spacing w:line="360" w:lineRule="auto"/>
        <w:ind w:firstLine="480" w:firstLineChars="200"/>
        <w:jc w:val="right"/>
        <w:rPr>
          <w:rFonts w:hint="default" w:ascii="Times New Roman" w:hAnsi="Times New Roman" w:eastAsia="宋体" w:cs="Times New Roman"/>
          <w:color w:val="auto"/>
          <w:kern w:val="0"/>
          <w:sz w:val="24"/>
          <w:highlight w:val="none"/>
        </w:rPr>
      </w:pPr>
    </w:p>
    <w:p w14:paraId="237F5F39">
      <w:pPr>
        <w:spacing w:line="360" w:lineRule="auto"/>
        <w:ind w:firstLine="480" w:firstLineChars="200"/>
        <w:jc w:val="right"/>
        <w:rPr>
          <w:rFonts w:hint="default" w:ascii="Times New Roman" w:hAnsi="Times New Roman" w:eastAsia="宋体" w:cs="Times New Roman"/>
          <w:color w:val="auto"/>
          <w:kern w:val="0"/>
          <w:sz w:val="24"/>
          <w:highlight w:val="none"/>
        </w:rPr>
      </w:pPr>
    </w:p>
    <w:p w14:paraId="02810914">
      <w:pPr>
        <w:spacing w:line="360" w:lineRule="auto"/>
        <w:ind w:firstLine="480" w:firstLineChars="200"/>
        <w:jc w:val="right"/>
        <w:rPr>
          <w:rFonts w:hint="default" w:ascii="Times New Roman" w:hAnsi="Times New Roman" w:eastAsia="宋体" w:cs="Times New Roman"/>
          <w:color w:val="auto"/>
          <w:kern w:val="0"/>
          <w:sz w:val="24"/>
          <w:highlight w:val="none"/>
        </w:rPr>
      </w:pPr>
    </w:p>
    <w:p w14:paraId="5557647D">
      <w:pPr>
        <w:spacing w:line="360" w:lineRule="auto"/>
        <w:ind w:firstLine="480" w:firstLineChars="200"/>
        <w:jc w:val="right"/>
        <w:rPr>
          <w:rFonts w:hint="default" w:ascii="Times New Roman" w:hAnsi="Times New Roman" w:eastAsia="宋体" w:cs="Times New Roman"/>
          <w:color w:val="auto"/>
          <w:kern w:val="0"/>
          <w:sz w:val="24"/>
          <w:highlight w:val="none"/>
        </w:rPr>
      </w:pPr>
    </w:p>
    <w:p w14:paraId="59956A47">
      <w:pPr>
        <w:spacing w:line="360" w:lineRule="auto"/>
        <w:ind w:firstLine="480" w:firstLineChars="200"/>
        <w:jc w:val="right"/>
        <w:rPr>
          <w:rFonts w:hint="default" w:ascii="Times New Roman" w:hAnsi="Times New Roman" w:eastAsia="宋体" w:cs="Times New Roman"/>
          <w:color w:val="auto"/>
          <w:kern w:val="0"/>
          <w:sz w:val="24"/>
          <w:highlight w:val="none"/>
        </w:rPr>
      </w:pPr>
    </w:p>
    <w:p w14:paraId="5FFE6717">
      <w:pPr>
        <w:spacing w:line="360" w:lineRule="auto"/>
        <w:jc w:val="both"/>
        <w:rPr>
          <w:rFonts w:hint="eastAsia" w:ascii="Times New Roman" w:hAnsi="Times New Roman" w:eastAsia="宋体" w:cs="Times New Roman"/>
          <w:color w:val="auto"/>
          <w:kern w:val="0"/>
          <w:sz w:val="24"/>
          <w:highlight w:val="none"/>
          <w:lang w:eastAsia="zh-CN"/>
        </w:rPr>
      </w:pPr>
    </w:p>
    <w:p w14:paraId="5EA64681">
      <w:pPr>
        <w:spacing w:line="360" w:lineRule="auto"/>
        <w:ind w:firstLine="480" w:firstLineChars="200"/>
        <w:jc w:val="right"/>
        <w:rPr>
          <w:rFonts w:hint="default" w:ascii="Times New Roman" w:hAnsi="Times New Roman" w:eastAsia="宋体" w:cs="Times New Roman"/>
          <w:color w:val="auto"/>
          <w:kern w:val="0"/>
          <w:sz w:val="24"/>
          <w:highlight w:val="none"/>
        </w:rPr>
      </w:pPr>
    </w:p>
    <w:p w14:paraId="18E53047">
      <w:pPr>
        <w:spacing w:line="360" w:lineRule="auto"/>
        <w:ind w:firstLine="480" w:firstLineChars="200"/>
        <w:jc w:val="right"/>
        <w:rPr>
          <w:rFonts w:hint="default" w:ascii="Times New Roman" w:hAnsi="Times New Roman" w:eastAsia="宋体" w:cs="Times New Roman"/>
          <w:color w:val="auto"/>
          <w:kern w:val="0"/>
          <w:sz w:val="24"/>
          <w:highlight w:val="none"/>
        </w:rPr>
      </w:pPr>
    </w:p>
    <w:p w14:paraId="278B5501">
      <w:pPr>
        <w:spacing w:line="360" w:lineRule="auto"/>
        <w:ind w:firstLine="480" w:firstLineChars="200"/>
        <w:jc w:val="right"/>
        <w:rPr>
          <w:rFonts w:hint="default" w:ascii="Times New Roman" w:hAnsi="Times New Roman" w:eastAsia="宋体" w:cs="Times New Roman"/>
          <w:color w:val="auto"/>
          <w:kern w:val="0"/>
          <w:sz w:val="24"/>
          <w:highlight w:val="none"/>
        </w:rPr>
      </w:pPr>
    </w:p>
    <w:p w14:paraId="65E9AB08">
      <w:pPr>
        <w:spacing w:line="360" w:lineRule="auto"/>
        <w:ind w:firstLine="480" w:firstLineChars="200"/>
        <w:jc w:val="right"/>
        <w:rPr>
          <w:rFonts w:hint="default" w:ascii="Times New Roman" w:hAnsi="Times New Roman" w:eastAsia="宋体" w:cs="Times New Roman"/>
          <w:color w:val="auto"/>
          <w:kern w:val="0"/>
          <w:sz w:val="24"/>
          <w:highlight w:val="none"/>
        </w:rPr>
      </w:pPr>
    </w:p>
    <w:p w14:paraId="6E362449">
      <w:pPr>
        <w:spacing w:line="360" w:lineRule="auto"/>
        <w:ind w:firstLine="480" w:firstLineChars="200"/>
        <w:jc w:val="right"/>
        <w:rPr>
          <w:rFonts w:hint="default" w:ascii="Times New Roman" w:hAnsi="Times New Roman" w:eastAsia="宋体" w:cs="Times New Roman"/>
          <w:color w:val="auto"/>
          <w:kern w:val="0"/>
          <w:sz w:val="24"/>
          <w:highlight w:val="none"/>
        </w:rPr>
      </w:pPr>
    </w:p>
    <w:p w14:paraId="0D9E71B9">
      <w:pPr>
        <w:spacing w:line="360" w:lineRule="auto"/>
        <w:ind w:firstLine="480" w:firstLineChars="200"/>
        <w:jc w:val="right"/>
        <w:rPr>
          <w:rFonts w:hint="default" w:ascii="Times New Roman" w:hAnsi="Times New Roman" w:eastAsia="宋体" w:cs="Times New Roman"/>
          <w:color w:val="auto"/>
          <w:kern w:val="0"/>
          <w:sz w:val="24"/>
          <w:highlight w:val="none"/>
        </w:rPr>
      </w:pPr>
    </w:p>
    <w:p w14:paraId="5D029BEA">
      <w:pPr>
        <w:spacing w:line="360" w:lineRule="auto"/>
        <w:ind w:firstLine="480" w:firstLineChars="200"/>
        <w:jc w:val="right"/>
        <w:rPr>
          <w:rFonts w:hint="default" w:ascii="Times New Roman" w:hAnsi="Times New Roman" w:eastAsia="宋体" w:cs="Times New Roman"/>
          <w:color w:val="auto"/>
          <w:kern w:val="0"/>
          <w:sz w:val="24"/>
          <w:highlight w:val="none"/>
        </w:rPr>
      </w:pPr>
    </w:p>
    <w:p w14:paraId="624D7B72">
      <w:pPr>
        <w:spacing w:line="360" w:lineRule="auto"/>
        <w:ind w:firstLine="480" w:firstLineChars="200"/>
        <w:jc w:val="right"/>
        <w:rPr>
          <w:rFonts w:hint="default" w:ascii="Times New Roman" w:hAnsi="Times New Roman" w:eastAsia="宋体" w:cs="Times New Roman"/>
          <w:color w:val="auto"/>
          <w:kern w:val="0"/>
          <w:sz w:val="24"/>
          <w:highlight w:val="none"/>
        </w:rPr>
      </w:pPr>
    </w:p>
    <w:p w14:paraId="4EE96EA4">
      <w:pPr>
        <w:spacing w:line="360" w:lineRule="auto"/>
        <w:ind w:firstLine="480" w:firstLineChars="200"/>
        <w:jc w:val="right"/>
        <w:rPr>
          <w:rFonts w:hint="default" w:ascii="Times New Roman" w:hAnsi="Times New Roman" w:eastAsia="宋体" w:cs="Times New Roman"/>
          <w:color w:val="auto"/>
          <w:kern w:val="0"/>
          <w:sz w:val="24"/>
          <w:highlight w:val="none"/>
        </w:rPr>
      </w:pPr>
    </w:p>
    <w:p w14:paraId="2EB5BC47">
      <w:pPr>
        <w:spacing w:line="360" w:lineRule="auto"/>
        <w:ind w:firstLine="480" w:firstLineChars="200"/>
        <w:jc w:val="right"/>
        <w:rPr>
          <w:rFonts w:hint="default" w:ascii="Times New Roman" w:hAnsi="Times New Roman" w:eastAsia="宋体" w:cs="Times New Roman"/>
          <w:color w:val="auto"/>
          <w:kern w:val="0"/>
          <w:sz w:val="24"/>
          <w:highlight w:val="none"/>
        </w:rPr>
      </w:pPr>
    </w:p>
    <w:p w14:paraId="40132357">
      <w:pPr>
        <w:spacing w:line="360" w:lineRule="auto"/>
        <w:jc w:val="both"/>
        <w:rPr>
          <w:rFonts w:hint="eastAsia" w:ascii="Times New Roman" w:hAnsi="Times New Roman" w:eastAsia="宋体" w:cs="Times New Roman"/>
          <w:color w:val="auto"/>
          <w:kern w:val="0"/>
          <w:sz w:val="24"/>
          <w:highlight w:val="none"/>
          <w:lang w:val="en-US" w:eastAsia="zh-CN"/>
        </w:rPr>
      </w:pPr>
    </w:p>
    <w:sectPr>
      <w:pgSz w:w="11906" w:h="16838"/>
      <w:pgMar w:top="1134" w:right="1134" w:bottom="1134" w:left="144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108CE6"/>
    <w:multiLevelType w:val="multilevel"/>
    <w:tmpl w:val="E8108CE6"/>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abstractNum w:abstractNumId="1">
    <w:nsid w:val="02E7035F"/>
    <w:multiLevelType w:val="singleLevel"/>
    <w:tmpl w:val="02E7035F"/>
    <w:lvl w:ilvl="0" w:tentative="0">
      <w:start w:val="5"/>
      <w:numFmt w:val="chineseCounting"/>
      <w:suff w:val="nothing"/>
      <w:lvlText w:val="（%1）"/>
      <w:lvlJc w:val="left"/>
      <w:rPr>
        <w:rFonts w:hint="eastAsia"/>
      </w:rPr>
    </w:lvl>
  </w:abstractNum>
  <w:abstractNum w:abstractNumId="2">
    <w:nsid w:val="406F2A9D"/>
    <w:multiLevelType w:val="multilevel"/>
    <w:tmpl w:val="406F2A9D"/>
    <w:lvl w:ilvl="0" w:tentative="0">
      <w:start w:val="1"/>
      <w:numFmt w:val="japaneseCounting"/>
      <w:lvlText w:val="%1、"/>
      <w:lvlJc w:val="left"/>
      <w:pPr>
        <w:ind w:left="992" w:hanging="51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702D4390"/>
    <w:multiLevelType w:val="singleLevel"/>
    <w:tmpl w:val="702D4390"/>
    <w:lvl w:ilvl="0" w:tentative="0">
      <w:start w:val="2"/>
      <w:numFmt w:val="decimal"/>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3NDRlNjQyYjNlZTdiMmNlMjBkMWNhNTkzOTRkMTAifQ=="/>
  </w:docVars>
  <w:rsids>
    <w:rsidRoot w:val="00000000"/>
    <w:rsid w:val="006F44F3"/>
    <w:rsid w:val="00AE01F7"/>
    <w:rsid w:val="00B87A8B"/>
    <w:rsid w:val="00E15234"/>
    <w:rsid w:val="00EF7950"/>
    <w:rsid w:val="00FD2119"/>
    <w:rsid w:val="01215312"/>
    <w:rsid w:val="013B0DE8"/>
    <w:rsid w:val="01553993"/>
    <w:rsid w:val="01C012ED"/>
    <w:rsid w:val="01C77D80"/>
    <w:rsid w:val="01FD26C6"/>
    <w:rsid w:val="02306473"/>
    <w:rsid w:val="025263E9"/>
    <w:rsid w:val="02B12833"/>
    <w:rsid w:val="02D84414"/>
    <w:rsid w:val="02E828A9"/>
    <w:rsid w:val="031160F4"/>
    <w:rsid w:val="03566F57"/>
    <w:rsid w:val="0363238C"/>
    <w:rsid w:val="038D16A3"/>
    <w:rsid w:val="038F541B"/>
    <w:rsid w:val="03DB41BC"/>
    <w:rsid w:val="04096F7B"/>
    <w:rsid w:val="040F20B8"/>
    <w:rsid w:val="041D6583"/>
    <w:rsid w:val="04497378"/>
    <w:rsid w:val="045126D0"/>
    <w:rsid w:val="047A39D5"/>
    <w:rsid w:val="04803B73"/>
    <w:rsid w:val="04F34A42"/>
    <w:rsid w:val="058C7E64"/>
    <w:rsid w:val="0597059F"/>
    <w:rsid w:val="05F31C91"/>
    <w:rsid w:val="06103038"/>
    <w:rsid w:val="064A73D7"/>
    <w:rsid w:val="065B7836"/>
    <w:rsid w:val="06EE09F3"/>
    <w:rsid w:val="072736DA"/>
    <w:rsid w:val="072B7687"/>
    <w:rsid w:val="072C3B31"/>
    <w:rsid w:val="073472B0"/>
    <w:rsid w:val="07373DFF"/>
    <w:rsid w:val="074F1149"/>
    <w:rsid w:val="075C73C2"/>
    <w:rsid w:val="077F5883"/>
    <w:rsid w:val="07886BEA"/>
    <w:rsid w:val="07A5520D"/>
    <w:rsid w:val="08406CE4"/>
    <w:rsid w:val="08762705"/>
    <w:rsid w:val="088968DD"/>
    <w:rsid w:val="08B651F8"/>
    <w:rsid w:val="08C07E24"/>
    <w:rsid w:val="09063A89"/>
    <w:rsid w:val="09153CCC"/>
    <w:rsid w:val="093B7E06"/>
    <w:rsid w:val="094D7C70"/>
    <w:rsid w:val="09594501"/>
    <w:rsid w:val="098F4818"/>
    <w:rsid w:val="0A352E89"/>
    <w:rsid w:val="0A410AF1"/>
    <w:rsid w:val="0A420C4B"/>
    <w:rsid w:val="0AAC0EF8"/>
    <w:rsid w:val="0ABE325C"/>
    <w:rsid w:val="0AC62EBA"/>
    <w:rsid w:val="0AED5AFE"/>
    <w:rsid w:val="0AFA5870"/>
    <w:rsid w:val="0B097861"/>
    <w:rsid w:val="0B1A43F5"/>
    <w:rsid w:val="0B297F03"/>
    <w:rsid w:val="0B4602A1"/>
    <w:rsid w:val="0B4E5BBB"/>
    <w:rsid w:val="0B64718D"/>
    <w:rsid w:val="0B753148"/>
    <w:rsid w:val="0B7C1E4D"/>
    <w:rsid w:val="0B8E420A"/>
    <w:rsid w:val="0BB51A45"/>
    <w:rsid w:val="0BDF6813"/>
    <w:rsid w:val="0BEF4CA9"/>
    <w:rsid w:val="0BF57DE5"/>
    <w:rsid w:val="0C542D5E"/>
    <w:rsid w:val="0CAF3B7D"/>
    <w:rsid w:val="0CBB2DDD"/>
    <w:rsid w:val="0CE20369"/>
    <w:rsid w:val="0CEB0F40"/>
    <w:rsid w:val="0CEC568C"/>
    <w:rsid w:val="0D0C378D"/>
    <w:rsid w:val="0D134413"/>
    <w:rsid w:val="0D2E7A52"/>
    <w:rsid w:val="0D4940E8"/>
    <w:rsid w:val="0D75673E"/>
    <w:rsid w:val="0DB3645F"/>
    <w:rsid w:val="0DE30506"/>
    <w:rsid w:val="0E4F5ED2"/>
    <w:rsid w:val="0E752FC5"/>
    <w:rsid w:val="0F2A5FF8"/>
    <w:rsid w:val="0F2B6C1B"/>
    <w:rsid w:val="0F803D94"/>
    <w:rsid w:val="0FEB71DC"/>
    <w:rsid w:val="10101691"/>
    <w:rsid w:val="10234F21"/>
    <w:rsid w:val="10596B94"/>
    <w:rsid w:val="10702130"/>
    <w:rsid w:val="108A4FA0"/>
    <w:rsid w:val="10D3090D"/>
    <w:rsid w:val="10F22B45"/>
    <w:rsid w:val="10F60887"/>
    <w:rsid w:val="115D26B4"/>
    <w:rsid w:val="118A6CA0"/>
    <w:rsid w:val="11D230A2"/>
    <w:rsid w:val="12130FC5"/>
    <w:rsid w:val="12575356"/>
    <w:rsid w:val="125F5E2E"/>
    <w:rsid w:val="126A598F"/>
    <w:rsid w:val="134C0770"/>
    <w:rsid w:val="13596EAB"/>
    <w:rsid w:val="135D042F"/>
    <w:rsid w:val="13957CB9"/>
    <w:rsid w:val="13C133CE"/>
    <w:rsid w:val="13D673F9"/>
    <w:rsid w:val="146E6986"/>
    <w:rsid w:val="14A800EA"/>
    <w:rsid w:val="14B120F6"/>
    <w:rsid w:val="14D07641"/>
    <w:rsid w:val="14D41776"/>
    <w:rsid w:val="150A66AF"/>
    <w:rsid w:val="150D2643"/>
    <w:rsid w:val="152534E9"/>
    <w:rsid w:val="152F0BBC"/>
    <w:rsid w:val="1537356C"/>
    <w:rsid w:val="158278D5"/>
    <w:rsid w:val="15870CEB"/>
    <w:rsid w:val="16287735"/>
    <w:rsid w:val="1683324F"/>
    <w:rsid w:val="16A42B33"/>
    <w:rsid w:val="16CA07EC"/>
    <w:rsid w:val="16D57191"/>
    <w:rsid w:val="16F45869"/>
    <w:rsid w:val="16F95920"/>
    <w:rsid w:val="16FC64CC"/>
    <w:rsid w:val="172B7D93"/>
    <w:rsid w:val="174B2FAF"/>
    <w:rsid w:val="17681DB3"/>
    <w:rsid w:val="17B429B6"/>
    <w:rsid w:val="17EB45EE"/>
    <w:rsid w:val="18193680"/>
    <w:rsid w:val="1853036D"/>
    <w:rsid w:val="1866284C"/>
    <w:rsid w:val="18932E60"/>
    <w:rsid w:val="189337CE"/>
    <w:rsid w:val="18E52319"/>
    <w:rsid w:val="18EB2C01"/>
    <w:rsid w:val="19436634"/>
    <w:rsid w:val="19472921"/>
    <w:rsid w:val="19570331"/>
    <w:rsid w:val="197131A1"/>
    <w:rsid w:val="19E576EB"/>
    <w:rsid w:val="19EF40C6"/>
    <w:rsid w:val="19F83716"/>
    <w:rsid w:val="1A197394"/>
    <w:rsid w:val="1A473F02"/>
    <w:rsid w:val="1A4F5002"/>
    <w:rsid w:val="1A974E89"/>
    <w:rsid w:val="1AC8792A"/>
    <w:rsid w:val="1B1D4C62"/>
    <w:rsid w:val="1B215A8A"/>
    <w:rsid w:val="1B6862D7"/>
    <w:rsid w:val="1B7F33D1"/>
    <w:rsid w:val="1B806455"/>
    <w:rsid w:val="1BA17641"/>
    <w:rsid w:val="1BB40EED"/>
    <w:rsid w:val="1BB41E9F"/>
    <w:rsid w:val="1BB46365"/>
    <w:rsid w:val="1BB479A2"/>
    <w:rsid w:val="1BD143CB"/>
    <w:rsid w:val="1BE0016A"/>
    <w:rsid w:val="1C085913"/>
    <w:rsid w:val="1C0F6CA1"/>
    <w:rsid w:val="1C313849"/>
    <w:rsid w:val="1C576A9C"/>
    <w:rsid w:val="1C6A7562"/>
    <w:rsid w:val="1C6D08DF"/>
    <w:rsid w:val="1C6D515A"/>
    <w:rsid w:val="1C760ACE"/>
    <w:rsid w:val="1C9E1AEA"/>
    <w:rsid w:val="1D043207"/>
    <w:rsid w:val="1D0936F0"/>
    <w:rsid w:val="1D352737"/>
    <w:rsid w:val="1D8B2357"/>
    <w:rsid w:val="1D992CC6"/>
    <w:rsid w:val="1DB23D88"/>
    <w:rsid w:val="1DE55F0B"/>
    <w:rsid w:val="1DE71C83"/>
    <w:rsid w:val="1DF9228A"/>
    <w:rsid w:val="1E0A7720"/>
    <w:rsid w:val="1E116D00"/>
    <w:rsid w:val="1E3B38FB"/>
    <w:rsid w:val="1E401394"/>
    <w:rsid w:val="1E592A71"/>
    <w:rsid w:val="1E7948A6"/>
    <w:rsid w:val="1EC27FFB"/>
    <w:rsid w:val="1EC66531"/>
    <w:rsid w:val="1ED04016"/>
    <w:rsid w:val="1F525822"/>
    <w:rsid w:val="1FD955FC"/>
    <w:rsid w:val="1FFC6A34"/>
    <w:rsid w:val="200F54C2"/>
    <w:rsid w:val="201725C8"/>
    <w:rsid w:val="20605D1D"/>
    <w:rsid w:val="206C7B49"/>
    <w:rsid w:val="207120C3"/>
    <w:rsid w:val="20971013"/>
    <w:rsid w:val="209E7C51"/>
    <w:rsid w:val="20C4005A"/>
    <w:rsid w:val="20F67487"/>
    <w:rsid w:val="21115269"/>
    <w:rsid w:val="21225204"/>
    <w:rsid w:val="21294361"/>
    <w:rsid w:val="216B2BCB"/>
    <w:rsid w:val="21820E9B"/>
    <w:rsid w:val="2184503B"/>
    <w:rsid w:val="21B17C21"/>
    <w:rsid w:val="22200FE5"/>
    <w:rsid w:val="22242A4E"/>
    <w:rsid w:val="222D1ACA"/>
    <w:rsid w:val="228527E6"/>
    <w:rsid w:val="228C4BA7"/>
    <w:rsid w:val="229B20FD"/>
    <w:rsid w:val="22B8599C"/>
    <w:rsid w:val="22D45DCA"/>
    <w:rsid w:val="23364142"/>
    <w:rsid w:val="233F7E6C"/>
    <w:rsid w:val="23863CED"/>
    <w:rsid w:val="23B5012E"/>
    <w:rsid w:val="23BD07B1"/>
    <w:rsid w:val="23C62FBD"/>
    <w:rsid w:val="24A7216D"/>
    <w:rsid w:val="24BF3430"/>
    <w:rsid w:val="24D34D10"/>
    <w:rsid w:val="24EC5DD1"/>
    <w:rsid w:val="25227A45"/>
    <w:rsid w:val="25257535"/>
    <w:rsid w:val="25330E57"/>
    <w:rsid w:val="254C0C39"/>
    <w:rsid w:val="2551032A"/>
    <w:rsid w:val="257150D5"/>
    <w:rsid w:val="25867FD4"/>
    <w:rsid w:val="25BE6335"/>
    <w:rsid w:val="25C805EC"/>
    <w:rsid w:val="25D3309D"/>
    <w:rsid w:val="25DD571A"/>
    <w:rsid w:val="25E371D4"/>
    <w:rsid w:val="26103D41"/>
    <w:rsid w:val="2612465B"/>
    <w:rsid w:val="261455E0"/>
    <w:rsid w:val="26C32B62"/>
    <w:rsid w:val="27421CD9"/>
    <w:rsid w:val="27D56FF1"/>
    <w:rsid w:val="280653FC"/>
    <w:rsid w:val="285D507A"/>
    <w:rsid w:val="28767CDC"/>
    <w:rsid w:val="28F65471"/>
    <w:rsid w:val="290F5367"/>
    <w:rsid w:val="29134EDD"/>
    <w:rsid w:val="2919097B"/>
    <w:rsid w:val="29A749BD"/>
    <w:rsid w:val="29B13146"/>
    <w:rsid w:val="29BF1D06"/>
    <w:rsid w:val="2A3377AC"/>
    <w:rsid w:val="2A557F75"/>
    <w:rsid w:val="2A5C7555"/>
    <w:rsid w:val="2A9E0161"/>
    <w:rsid w:val="2B0E7AB2"/>
    <w:rsid w:val="2B285689"/>
    <w:rsid w:val="2B381D70"/>
    <w:rsid w:val="2B41609E"/>
    <w:rsid w:val="2B45623B"/>
    <w:rsid w:val="2B4B2AFB"/>
    <w:rsid w:val="2B764647"/>
    <w:rsid w:val="2B88437A"/>
    <w:rsid w:val="2B9D7E25"/>
    <w:rsid w:val="2BB40E5B"/>
    <w:rsid w:val="2BBF78D5"/>
    <w:rsid w:val="2C4E7372"/>
    <w:rsid w:val="2CC16079"/>
    <w:rsid w:val="2CDC497D"/>
    <w:rsid w:val="2CDD6F16"/>
    <w:rsid w:val="2CF0667B"/>
    <w:rsid w:val="2CF41CC7"/>
    <w:rsid w:val="2D0B1F79"/>
    <w:rsid w:val="2D77745E"/>
    <w:rsid w:val="2D7E3C87"/>
    <w:rsid w:val="2D864EB0"/>
    <w:rsid w:val="2E4647A4"/>
    <w:rsid w:val="2E567191"/>
    <w:rsid w:val="2E6B37BB"/>
    <w:rsid w:val="2E7F43DD"/>
    <w:rsid w:val="2E82663A"/>
    <w:rsid w:val="2E905A1F"/>
    <w:rsid w:val="2E9D1104"/>
    <w:rsid w:val="2EB15996"/>
    <w:rsid w:val="2EBC6814"/>
    <w:rsid w:val="2EC3451F"/>
    <w:rsid w:val="2EF20488"/>
    <w:rsid w:val="2EF53AD4"/>
    <w:rsid w:val="2EFA558F"/>
    <w:rsid w:val="2F1B7324"/>
    <w:rsid w:val="2F527179"/>
    <w:rsid w:val="2F7215C9"/>
    <w:rsid w:val="2F7C41F6"/>
    <w:rsid w:val="2F8B61E7"/>
    <w:rsid w:val="2FA5288E"/>
    <w:rsid w:val="2FE83639"/>
    <w:rsid w:val="300541EB"/>
    <w:rsid w:val="303403FA"/>
    <w:rsid w:val="303B19BB"/>
    <w:rsid w:val="303F598D"/>
    <w:rsid w:val="3058256D"/>
    <w:rsid w:val="306233EC"/>
    <w:rsid w:val="30782C0F"/>
    <w:rsid w:val="307920D8"/>
    <w:rsid w:val="308405B2"/>
    <w:rsid w:val="309003C3"/>
    <w:rsid w:val="30917605"/>
    <w:rsid w:val="30A532D8"/>
    <w:rsid w:val="30DB6CFA"/>
    <w:rsid w:val="30E90E7B"/>
    <w:rsid w:val="3126266B"/>
    <w:rsid w:val="31440D43"/>
    <w:rsid w:val="31480833"/>
    <w:rsid w:val="319C46DB"/>
    <w:rsid w:val="31B201DD"/>
    <w:rsid w:val="31B22151"/>
    <w:rsid w:val="31BD1DC4"/>
    <w:rsid w:val="31CD2AE7"/>
    <w:rsid w:val="32052280"/>
    <w:rsid w:val="32A25D21"/>
    <w:rsid w:val="32A27F10"/>
    <w:rsid w:val="32BE21C5"/>
    <w:rsid w:val="32D83E39"/>
    <w:rsid w:val="33152997"/>
    <w:rsid w:val="331621F9"/>
    <w:rsid w:val="331812CD"/>
    <w:rsid w:val="33291F9F"/>
    <w:rsid w:val="332E6808"/>
    <w:rsid w:val="33574D5E"/>
    <w:rsid w:val="3359069A"/>
    <w:rsid w:val="33A01007"/>
    <w:rsid w:val="33BE4DDD"/>
    <w:rsid w:val="33D43DBD"/>
    <w:rsid w:val="33DC5263"/>
    <w:rsid w:val="340F388A"/>
    <w:rsid w:val="341E3ACD"/>
    <w:rsid w:val="342612C6"/>
    <w:rsid w:val="343F4A14"/>
    <w:rsid w:val="349A75F8"/>
    <w:rsid w:val="34BD5094"/>
    <w:rsid w:val="34D50630"/>
    <w:rsid w:val="34EC4711"/>
    <w:rsid w:val="35011425"/>
    <w:rsid w:val="35170C48"/>
    <w:rsid w:val="351F3913"/>
    <w:rsid w:val="35337151"/>
    <w:rsid w:val="355A6D87"/>
    <w:rsid w:val="35642E36"/>
    <w:rsid w:val="35AB37D1"/>
    <w:rsid w:val="35CB558F"/>
    <w:rsid w:val="35ED19A9"/>
    <w:rsid w:val="360B5277"/>
    <w:rsid w:val="361909F0"/>
    <w:rsid w:val="361E6007"/>
    <w:rsid w:val="36251143"/>
    <w:rsid w:val="36297C02"/>
    <w:rsid w:val="36511F38"/>
    <w:rsid w:val="36633A19"/>
    <w:rsid w:val="36877708"/>
    <w:rsid w:val="36904F4B"/>
    <w:rsid w:val="36941E25"/>
    <w:rsid w:val="36B349A1"/>
    <w:rsid w:val="36C721FA"/>
    <w:rsid w:val="36E20737"/>
    <w:rsid w:val="36F01751"/>
    <w:rsid w:val="375872F6"/>
    <w:rsid w:val="3784633D"/>
    <w:rsid w:val="379B74CF"/>
    <w:rsid w:val="37FB5F35"/>
    <w:rsid w:val="38030A86"/>
    <w:rsid w:val="382D3998"/>
    <w:rsid w:val="38877E93"/>
    <w:rsid w:val="38972E1C"/>
    <w:rsid w:val="38CF1470"/>
    <w:rsid w:val="38E70932"/>
    <w:rsid w:val="38F17F19"/>
    <w:rsid w:val="3914549F"/>
    <w:rsid w:val="39287C1C"/>
    <w:rsid w:val="39763A64"/>
    <w:rsid w:val="39777F08"/>
    <w:rsid w:val="397D3044"/>
    <w:rsid w:val="39A20232"/>
    <w:rsid w:val="39C3314D"/>
    <w:rsid w:val="39FE23D7"/>
    <w:rsid w:val="3A16319D"/>
    <w:rsid w:val="3A810912"/>
    <w:rsid w:val="3A914FF9"/>
    <w:rsid w:val="3AC80920"/>
    <w:rsid w:val="3AC90C3C"/>
    <w:rsid w:val="3AF45588"/>
    <w:rsid w:val="3B0319E9"/>
    <w:rsid w:val="3B0372DD"/>
    <w:rsid w:val="3B385475"/>
    <w:rsid w:val="3B4E3612"/>
    <w:rsid w:val="3B573641"/>
    <w:rsid w:val="3B590718"/>
    <w:rsid w:val="3B824942"/>
    <w:rsid w:val="3B8443B3"/>
    <w:rsid w:val="3B8D00E1"/>
    <w:rsid w:val="3BC74A4B"/>
    <w:rsid w:val="3BFC2946"/>
    <w:rsid w:val="3C0C3CEF"/>
    <w:rsid w:val="3C320282"/>
    <w:rsid w:val="3C6F1EA0"/>
    <w:rsid w:val="3CEC49C0"/>
    <w:rsid w:val="3D437B38"/>
    <w:rsid w:val="3D566086"/>
    <w:rsid w:val="3DAE7C70"/>
    <w:rsid w:val="3DC70D32"/>
    <w:rsid w:val="3E2B7513"/>
    <w:rsid w:val="3E605959"/>
    <w:rsid w:val="3E7762B4"/>
    <w:rsid w:val="3E8F782E"/>
    <w:rsid w:val="3EA177D5"/>
    <w:rsid w:val="3EF51CD1"/>
    <w:rsid w:val="3F0365C7"/>
    <w:rsid w:val="3F0D6C18"/>
    <w:rsid w:val="3F76656C"/>
    <w:rsid w:val="3F937B68"/>
    <w:rsid w:val="3FDA11F0"/>
    <w:rsid w:val="400C0C7E"/>
    <w:rsid w:val="401F2A69"/>
    <w:rsid w:val="40381A73"/>
    <w:rsid w:val="404E1296"/>
    <w:rsid w:val="405A7C3B"/>
    <w:rsid w:val="40AD2461"/>
    <w:rsid w:val="40E439A9"/>
    <w:rsid w:val="410D12F8"/>
    <w:rsid w:val="415029D9"/>
    <w:rsid w:val="41670862"/>
    <w:rsid w:val="41C5655C"/>
    <w:rsid w:val="41F93484"/>
    <w:rsid w:val="420F2CA7"/>
    <w:rsid w:val="4214206C"/>
    <w:rsid w:val="42722B78"/>
    <w:rsid w:val="431762B8"/>
    <w:rsid w:val="434D1CD9"/>
    <w:rsid w:val="43575F8F"/>
    <w:rsid w:val="43737CDA"/>
    <w:rsid w:val="43827BB1"/>
    <w:rsid w:val="43BB08DC"/>
    <w:rsid w:val="43C27FD1"/>
    <w:rsid w:val="43E02B4D"/>
    <w:rsid w:val="44182A93"/>
    <w:rsid w:val="442A13D9"/>
    <w:rsid w:val="444162D1"/>
    <w:rsid w:val="44AD6ED3"/>
    <w:rsid w:val="44B21CE6"/>
    <w:rsid w:val="44C25F0B"/>
    <w:rsid w:val="452D3B70"/>
    <w:rsid w:val="453365B0"/>
    <w:rsid w:val="45605CF4"/>
    <w:rsid w:val="45F34DBA"/>
    <w:rsid w:val="45F64BD8"/>
    <w:rsid w:val="460365FF"/>
    <w:rsid w:val="460C5E7C"/>
    <w:rsid w:val="463D7DBF"/>
    <w:rsid w:val="46530312"/>
    <w:rsid w:val="46537607"/>
    <w:rsid w:val="46713811"/>
    <w:rsid w:val="468E4AE3"/>
    <w:rsid w:val="469814BD"/>
    <w:rsid w:val="475A49C5"/>
    <w:rsid w:val="475C698F"/>
    <w:rsid w:val="47727F60"/>
    <w:rsid w:val="477618A3"/>
    <w:rsid w:val="479510FE"/>
    <w:rsid w:val="47D62F59"/>
    <w:rsid w:val="480E6AF2"/>
    <w:rsid w:val="481F0EAE"/>
    <w:rsid w:val="483A26D1"/>
    <w:rsid w:val="488429C0"/>
    <w:rsid w:val="48CE11C6"/>
    <w:rsid w:val="48E42798"/>
    <w:rsid w:val="48FC1291"/>
    <w:rsid w:val="49D56585"/>
    <w:rsid w:val="49D9587C"/>
    <w:rsid w:val="49E334F6"/>
    <w:rsid w:val="49E96F96"/>
    <w:rsid w:val="49EE6266"/>
    <w:rsid w:val="4A3239D7"/>
    <w:rsid w:val="4A5E042C"/>
    <w:rsid w:val="4A743FEF"/>
    <w:rsid w:val="4AA5064D"/>
    <w:rsid w:val="4AB92C27"/>
    <w:rsid w:val="4ABD7744"/>
    <w:rsid w:val="4AD36F68"/>
    <w:rsid w:val="4B427C4A"/>
    <w:rsid w:val="4B6D116B"/>
    <w:rsid w:val="4B773D97"/>
    <w:rsid w:val="4BF65E1D"/>
    <w:rsid w:val="4C09265D"/>
    <w:rsid w:val="4C1356A2"/>
    <w:rsid w:val="4C8A2BA4"/>
    <w:rsid w:val="4CAB577D"/>
    <w:rsid w:val="4CEA7E6E"/>
    <w:rsid w:val="4D0478AD"/>
    <w:rsid w:val="4D097DFF"/>
    <w:rsid w:val="4D3637DE"/>
    <w:rsid w:val="4D4001B9"/>
    <w:rsid w:val="4D4128AF"/>
    <w:rsid w:val="4D492AC2"/>
    <w:rsid w:val="4DBD7A5B"/>
    <w:rsid w:val="4DC66A12"/>
    <w:rsid w:val="4DDE00FE"/>
    <w:rsid w:val="4DF711BF"/>
    <w:rsid w:val="4E04104E"/>
    <w:rsid w:val="4E06200F"/>
    <w:rsid w:val="4E165AE9"/>
    <w:rsid w:val="4E2A3343"/>
    <w:rsid w:val="4E406DDB"/>
    <w:rsid w:val="4E6B025A"/>
    <w:rsid w:val="4E8058D2"/>
    <w:rsid w:val="4E8A5B90"/>
    <w:rsid w:val="4E923725"/>
    <w:rsid w:val="4E952950"/>
    <w:rsid w:val="4EA2112B"/>
    <w:rsid w:val="4EC15F85"/>
    <w:rsid w:val="4EC527A3"/>
    <w:rsid w:val="4EDB63EB"/>
    <w:rsid w:val="4F005E52"/>
    <w:rsid w:val="4F05790C"/>
    <w:rsid w:val="4F0911AA"/>
    <w:rsid w:val="50231584"/>
    <w:rsid w:val="50724B2D"/>
    <w:rsid w:val="50AA42C7"/>
    <w:rsid w:val="50DE6667"/>
    <w:rsid w:val="510F0E13"/>
    <w:rsid w:val="514B4F78"/>
    <w:rsid w:val="51E23F34"/>
    <w:rsid w:val="51ED7522"/>
    <w:rsid w:val="51FF7420"/>
    <w:rsid w:val="5245699D"/>
    <w:rsid w:val="525C3CE7"/>
    <w:rsid w:val="52755359"/>
    <w:rsid w:val="52923265"/>
    <w:rsid w:val="52990A97"/>
    <w:rsid w:val="52B72CCB"/>
    <w:rsid w:val="52C11D9C"/>
    <w:rsid w:val="53475896"/>
    <w:rsid w:val="53582700"/>
    <w:rsid w:val="537329AF"/>
    <w:rsid w:val="53755060"/>
    <w:rsid w:val="539232B3"/>
    <w:rsid w:val="53B042EA"/>
    <w:rsid w:val="53D0673A"/>
    <w:rsid w:val="541624AE"/>
    <w:rsid w:val="54330CD9"/>
    <w:rsid w:val="544A6CFB"/>
    <w:rsid w:val="545207D2"/>
    <w:rsid w:val="545C3B2A"/>
    <w:rsid w:val="54684676"/>
    <w:rsid w:val="54717BEB"/>
    <w:rsid w:val="5475755D"/>
    <w:rsid w:val="54E44ED6"/>
    <w:rsid w:val="55254864"/>
    <w:rsid w:val="554967A4"/>
    <w:rsid w:val="554C1DF1"/>
    <w:rsid w:val="556E7FB9"/>
    <w:rsid w:val="55823A64"/>
    <w:rsid w:val="55982572"/>
    <w:rsid w:val="55AC7BBD"/>
    <w:rsid w:val="55F61D5C"/>
    <w:rsid w:val="561D378D"/>
    <w:rsid w:val="56225547"/>
    <w:rsid w:val="5625513D"/>
    <w:rsid w:val="563034C0"/>
    <w:rsid w:val="56504000"/>
    <w:rsid w:val="56B063AF"/>
    <w:rsid w:val="56BD287A"/>
    <w:rsid w:val="56D879F5"/>
    <w:rsid w:val="56EB388B"/>
    <w:rsid w:val="56F03D6C"/>
    <w:rsid w:val="57252A57"/>
    <w:rsid w:val="57340D8E"/>
    <w:rsid w:val="57571CBA"/>
    <w:rsid w:val="577B69BD"/>
    <w:rsid w:val="579E7882"/>
    <w:rsid w:val="57AA72A2"/>
    <w:rsid w:val="57EA4A45"/>
    <w:rsid w:val="57F1536A"/>
    <w:rsid w:val="58064C3C"/>
    <w:rsid w:val="580E5A83"/>
    <w:rsid w:val="58331046"/>
    <w:rsid w:val="58647451"/>
    <w:rsid w:val="586B3150"/>
    <w:rsid w:val="589C097F"/>
    <w:rsid w:val="59044790"/>
    <w:rsid w:val="59111F0A"/>
    <w:rsid w:val="592554A0"/>
    <w:rsid w:val="594554D5"/>
    <w:rsid w:val="59547B0C"/>
    <w:rsid w:val="59A06702"/>
    <w:rsid w:val="59A246D5"/>
    <w:rsid w:val="59D423B5"/>
    <w:rsid w:val="59FB3DE5"/>
    <w:rsid w:val="5A2055FA"/>
    <w:rsid w:val="5A2A6479"/>
    <w:rsid w:val="5A3E142D"/>
    <w:rsid w:val="5A667518"/>
    <w:rsid w:val="5A67147B"/>
    <w:rsid w:val="5A855CC9"/>
    <w:rsid w:val="5AB511FC"/>
    <w:rsid w:val="5AC23CD1"/>
    <w:rsid w:val="5B286E5C"/>
    <w:rsid w:val="5B5548D8"/>
    <w:rsid w:val="5B8322E4"/>
    <w:rsid w:val="5B94629C"/>
    <w:rsid w:val="5BE56AFB"/>
    <w:rsid w:val="5C0C68CA"/>
    <w:rsid w:val="5C2313D1"/>
    <w:rsid w:val="5C394FAE"/>
    <w:rsid w:val="5C677510"/>
    <w:rsid w:val="5C693288"/>
    <w:rsid w:val="5C795370"/>
    <w:rsid w:val="5C7B5ADE"/>
    <w:rsid w:val="5C7D31D8"/>
    <w:rsid w:val="5C982577"/>
    <w:rsid w:val="5CCB7A9F"/>
    <w:rsid w:val="5CD3198F"/>
    <w:rsid w:val="5CDB3A5A"/>
    <w:rsid w:val="5D1256CE"/>
    <w:rsid w:val="5D184CAE"/>
    <w:rsid w:val="5D320C20"/>
    <w:rsid w:val="5D46706C"/>
    <w:rsid w:val="5D605245"/>
    <w:rsid w:val="5D8D2FA6"/>
    <w:rsid w:val="5D916CD1"/>
    <w:rsid w:val="5DA42323"/>
    <w:rsid w:val="5DBC7D30"/>
    <w:rsid w:val="5DED1ED3"/>
    <w:rsid w:val="5E176D14"/>
    <w:rsid w:val="5E3C677A"/>
    <w:rsid w:val="5E714676"/>
    <w:rsid w:val="5E7B0CDD"/>
    <w:rsid w:val="5E7F3237"/>
    <w:rsid w:val="5E9F11E3"/>
    <w:rsid w:val="5EDA221B"/>
    <w:rsid w:val="5EE440EC"/>
    <w:rsid w:val="5F5D4BFA"/>
    <w:rsid w:val="5F797C86"/>
    <w:rsid w:val="5F9920D6"/>
    <w:rsid w:val="5FB409B1"/>
    <w:rsid w:val="5FC15189"/>
    <w:rsid w:val="600C4F8E"/>
    <w:rsid w:val="60270C25"/>
    <w:rsid w:val="60425A2F"/>
    <w:rsid w:val="6062696C"/>
    <w:rsid w:val="608D7034"/>
    <w:rsid w:val="60AC5E39"/>
    <w:rsid w:val="60C70EC5"/>
    <w:rsid w:val="60D55390"/>
    <w:rsid w:val="624A164E"/>
    <w:rsid w:val="625C563D"/>
    <w:rsid w:val="627B506E"/>
    <w:rsid w:val="628C5F22"/>
    <w:rsid w:val="62B15989"/>
    <w:rsid w:val="630730C7"/>
    <w:rsid w:val="635C2B47"/>
    <w:rsid w:val="639C3F43"/>
    <w:rsid w:val="63A762A6"/>
    <w:rsid w:val="63BB78A1"/>
    <w:rsid w:val="63BE035D"/>
    <w:rsid w:val="63E13A0B"/>
    <w:rsid w:val="63EE0517"/>
    <w:rsid w:val="63F54E11"/>
    <w:rsid w:val="6401024A"/>
    <w:rsid w:val="640A70BB"/>
    <w:rsid w:val="64177A6E"/>
    <w:rsid w:val="64494046"/>
    <w:rsid w:val="64550596"/>
    <w:rsid w:val="648C220A"/>
    <w:rsid w:val="649E30EE"/>
    <w:rsid w:val="64B40A2C"/>
    <w:rsid w:val="64D55573"/>
    <w:rsid w:val="64F953C5"/>
    <w:rsid w:val="64FB5E91"/>
    <w:rsid w:val="653855DE"/>
    <w:rsid w:val="65430077"/>
    <w:rsid w:val="656E5DB3"/>
    <w:rsid w:val="65D715A9"/>
    <w:rsid w:val="661D72B3"/>
    <w:rsid w:val="662927B2"/>
    <w:rsid w:val="662C2F95"/>
    <w:rsid w:val="666F48B2"/>
    <w:rsid w:val="66812FCE"/>
    <w:rsid w:val="66845C6B"/>
    <w:rsid w:val="66897B56"/>
    <w:rsid w:val="669E446B"/>
    <w:rsid w:val="66B3027F"/>
    <w:rsid w:val="66CC2D91"/>
    <w:rsid w:val="676C6322"/>
    <w:rsid w:val="67AF4A54"/>
    <w:rsid w:val="67E91721"/>
    <w:rsid w:val="68153119"/>
    <w:rsid w:val="684828EC"/>
    <w:rsid w:val="689E0B09"/>
    <w:rsid w:val="68AF64C7"/>
    <w:rsid w:val="68BA2E4A"/>
    <w:rsid w:val="68BF2482"/>
    <w:rsid w:val="68D57089"/>
    <w:rsid w:val="68D75A1D"/>
    <w:rsid w:val="69731BEA"/>
    <w:rsid w:val="69765236"/>
    <w:rsid w:val="697D4817"/>
    <w:rsid w:val="69AA326E"/>
    <w:rsid w:val="69D02B99"/>
    <w:rsid w:val="69F83E9D"/>
    <w:rsid w:val="69FF232E"/>
    <w:rsid w:val="6A042842"/>
    <w:rsid w:val="6A374E4B"/>
    <w:rsid w:val="6A5837C7"/>
    <w:rsid w:val="6A7E0847"/>
    <w:rsid w:val="6B00125C"/>
    <w:rsid w:val="6B1B2A5E"/>
    <w:rsid w:val="6B8E2D0B"/>
    <w:rsid w:val="6BBC10B2"/>
    <w:rsid w:val="6BC35730"/>
    <w:rsid w:val="6BCF0C2E"/>
    <w:rsid w:val="6BF012D0"/>
    <w:rsid w:val="6C541216"/>
    <w:rsid w:val="6C5C53CF"/>
    <w:rsid w:val="6C686766"/>
    <w:rsid w:val="6C9F6CBF"/>
    <w:rsid w:val="6CDE381E"/>
    <w:rsid w:val="6D817112"/>
    <w:rsid w:val="6D8A47CA"/>
    <w:rsid w:val="6D9B526C"/>
    <w:rsid w:val="6E573888"/>
    <w:rsid w:val="6E6F421F"/>
    <w:rsid w:val="6E92623A"/>
    <w:rsid w:val="6EBA381B"/>
    <w:rsid w:val="6F0D2199"/>
    <w:rsid w:val="6F2432BF"/>
    <w:rsid w:val="6F2968A7"/>
    <w:rsid w:val="6F2F65B3"/>
    <w:rsid w:val="6F457B85"/>
    <w:rsid w:val="6F4638FD"/>
    <w:rsid w:val="6FB940CF"/>
    <w:rsid w:val="6FBD5FE1"/>
    <w:rsid w:val="6FCE7B7A"/>
    <w:rsid w:val="6FE70C3C"/>
    <w:rsid w:val="6FEF189F"/>
    <w:rsid w:val="6FF31971"/>
    <w:rsid w:val="70141305"/>
    <w:rsid w:val="70207CAA"/>
    <w:rsid w:val="70221C74"/>
    <w:rsid w:val="705B5186"/>
    <w:rsid w:val="70785D38"/>
    <w:rsid w:val="70826FF6"/>
    <w:rsid w:val="70D7072F"/>
    <w:rsid w:val="712351CC"/>
    <w:rsid w:val="71665B90"/>
    <w:rsid w:val="716A38D3"/>
    <w:rsid w:val="71704C61"/>
    <w:rsid w:val="71830048"/>
    <w:rsid w:val="71A779AA"/>
    <w:rsid w:val="71BE3C1E"/>
    <w:rsid w:val="71DB6897"/>
    <w:rsid w:val="71E17B50"/>
    <w:rsid w:val="72612407"/>
    <w:rsid w:val="72D37256"/>
    <w:rsid w:val="72E15E16"/>
    <w:rsid w:val="72EE0533"/>
    <w:rsid w:val="73540F98"/>
    <w:rsid w:val="736507F6"/>
    <w:rsid w:val="73953386"/>
    <w:rsid w:val="73A24B7B"/>
    <w:rsid w:val="73AC0640"/>
    <w:rsid w:val="73B2330F"/>
    <w:rsid w:val="73EF6311"/>
    <w:rsid w:val="73FE0302"/>
    <w:rsid w:val="740D4E17"/>
    <w:rsid w:val="74220495"/>
    <w:rsid w:val="74450ED1"/>
    <w:rsid w:val="74A569D0"/>
    <w:rsid w:val="74BC09A1"/>
    <w:rsid w:val="7501454E"/>
    <w:rsid w:val="75093403"/>
    <w:rsid w:val="7521074C"/>
    <w:rsid w:val="75385A96"/>
    <w:rsid w:val="757840E4"/>
    <w:rsid w:val="75860393"/>
    <w:rsid w:val="758B206A"/>
    <w:rsid w:val="758F0E96"/>
    <w:rsid w:val="759929D8"/>
    <w:rsid w:val="75B415C0"/>
    <w:rsid w:val="75F573FC"/>
    <w:rsid w:val="760D2A7F"/>
    <w:rsid w:val="7620086F"/>
    <w:rsid w:val="762B1157"/>
    <w:rsid w:val="76BF6607"/>
    <w:rsid w:val="76F0487A"/>
    <w:rsid w:val="77000835"/>
    <w:rsid w:val="772D6E8E"/>
    <w:rsid w:val="77577C6A"/>
    <w:rsid w:val="776112D4"/>
    <w:rsid w:val="776B3F01"/>
    <w:rsid w:val="778B619F"/>
    <w:rsid w:val="77DB72D8"/>
    <w:rsid w:val="77DC741B"/>
    <w:rsid w:val="77F932A5"/>
    <w:rsid w:val="78200134"/>
    <w:rsid w:val="78760DAF"/>
    <w:rsid w:val="787B63C5"/>
    <w:rsid w:val="789B25C4"/>
    <w:rsid w:val="78D87B80"/>
    <w:rsid w:val="78E81581"/>
    <w:rsid w:val="793D1193"/>
    <w:rsid w:val="794B223C"/>
    <w:rsid w:val="7956473D"/>
    <w:rsid w:val="795F7D0D"/>
    <w:rsid w:val="79971568"/>
    <w:rsid w:val="79A66FD3"/>
    <w:rsid w:val="79A74F98"/>
    <w:rsid w:val="79D0629D"/>
    <w:rsid w:val="79E9047E"/>
    <w:rsid w:val="79EE0E19"/>
    <w:rsid w:val="7A4B626B"/>
    <w:rsid w:val="7A660A22"/>
    <w:rsid w:val="7A8F2E13"/>
    <w:rsid w:val="7AEA338E"/>
    <w:rsid w:val="7B011C90"/>
    <w:rsid w:val="7B1D781F"/>
    <w:rsid w:val="7B3D021F"/>
    <w:rsid w:val="7C3074C7"/>
    <w:rsid w:val="7C833A9B"/>
    <w:rsid w:val="7CF44998"/>
    <w:rsid w:val="7D557E11"/>
    <w:rsid w:val="7D5D6F6D"/>
    <w:rsid w:val="7D6B6113"/>
    <w:rsid w:val="7D785D38"/>
    <w:rsid w:val="7D913A27"/>
    <w:rsid w:val="7DA26EDC"/>
    <w:rsid w:val="7DAC5273"/>
    <w:rsid w:val="7E066731"/>
    <w:rsid w:val="7E3F39F1"/>
    <w:rsid w:val="7E5E6CCB"/>
    <w:rsid w:val="7E680EAA"/>
    <w:rsid w:val="7E832AC7"/>
    <w:rsid w:val="7E9B156F"/>
    <w:rsid w:val="7E9F071A"/>
    <w:rsid w:val="7EA97B73"/>
    <w:rsid w:val="7EB20667"/>
    <w:rsid w:val="7ECB20F8"/>
    <w:rsid w:val="7EF80F8C"/>
    <w:rsid w:val="7F034416"/>
    <w:rsid w:val="7F3900A1"/>
    <w:rsid w:val="7F3C6183"/>
    <w:rsid w:val="7F500288"/>
    <w:rsid w:val="7F5B391B"/>
    <w:rsid w:val="7F686F78"/>
    <w:rsid w:val="7F6A7194"/>
    <w:rsid w:val="7F89586C"/>
    <w:rsid w:val="7F9F1785"/>
    <w:rsid w:val="7FF35BB4"/>
    <w:rsid w:val="BFC57707"/>
    <w:rsid w:val="DFF5B08B"/>
    <w:rsid w:val="EEB93A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15">
    <w:name w:val="Default Paragraph Font"/>
    <w:semiHidden/>
    <w:qFormat/>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Normal Indent"/>
    <w:basedOn w:val="1"/>
    <w:next w:val="4"/>
    <w:qFormat/>
    <w:uiPriority w:val="0"/>
    <w:pPr>
      <w:ind w:firstLine="420"/>
    </w:pPr>
  </w:style>
  <w:style w:type="paragraph" w:customStyle="1" w:styleId="4">
    <w:name w:val="正文首行缩进2个字 Char"/>
    <w:basedOn w:val="1"/>
    <w:qFormat/>
    <w:uiPriority w:val="0"/>
    <w:pPr>
      <w:ind w:firstLine="480" w:firstLineChars="200"/>
    </w:pPr>
    <w:rPr>
      <w:rFonts w:eastAsia="楷体"/>
      <w:sz w:val="24"/>
      <w:szCs w:val="24"/>
    </w:rPr>
  </w:style>
  <w:style w:type="paragraph" w:styleId="5">
    <w:name w:val="annotation text"/>
    <w:basedOn w:val="1"/>
    <w:qFormat/>
    <w:uiPriority w:val="0"/>
    <w:pPr>
      <w:jc w:val="left"/>
    </w:pPr>
  </w:style>
  <w:style w:type="paragraph" w:styleId="6">
    <w:name w:val="Body Text"/>
    <w:basedOn w:val="1"/>
    <w:unhideWhenUsed/>
    <w:qFormat/>
    <w:uiPriority w:val="99"/>
    <w:pPr>
      <w:ind w:left="118"/>
    </w:pPr>
    <w:rPr>
      <w:rFonts w:ascii="宋体" w:hAnsi="宋体" w:eastAsia="宋体"/>
    </w:rPr>
  </w:style>
  <w:style w:type="paragraph" w:styleId="7">
    <w:name w:val="Body Text Indent"/>
    <w:basedOn w:val="1"/>
    <w:next w:val="8"/>
    <w:qFormat/>
    <w:uiPriority w:val="0"/>
    <w:pPr>
      <w:ind w:firstLine="480" w:firstLineChars="200"/>
    </w:pPr>
    <w:rPr>
      <w:rFonts w:ascii="宋体"/>
      <w:color w:val="000000"/>
      <w:sz w:val="24"/>
    </w:rPr>
  </w:style>
  <w:style w:type="paragraph" w:styleId="8">
    <w:name w:val="toc 9"/>
    <w:basedOn w:val="1"/>
    <w:next w:val="1"/>
    <w:qFormat/>
    <w:uiPriority w:val="0"/>
    <w:pPr>
      <w:widowControl/>
      <w:wordWrap w:val="0"/>
      <w:autoSpaceDE/>
      <w:autoSpaceDN/>
      <w:spacing w:before="0" w:after="0" w:line="240" w:lineRule="auto"/>
      <w:ind w:left="2975" w:firstLine="0"/>
      <w:jc w:val="both"/>
    </w:pPr>
    <w:rPr>
      <w:sz w:val="21"/>
      <w:szCs w:val="22"/>
    </w:rPr>
  </w:style>
  <w:style w:type="paragraph" w:styleId="9">
    <w:name w:val="Plain Text"/>
    <w:basedOn w:val="1"/>
    <w:qFormat/>
    <w:uiPriority w:val="0"/>
    <w:rPr>
      <w:rFonts w:ascii="宋体" w:hAnsi="Courier New" w:eastAsia="宋体" w:cs="Times New Roman"/>
      <w:szCs w:val="24"/>
    </w:rPr>
  </w:style>
  <w:style w:type="paragraph" w:styleId="10">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11">
    <w:name w:val="Body Text First Indent"/>
    <w:basedOn w:val="6"/>
    <w:next w:val="1"/>
    <w:qFormat/>
    <w:uiPriority w:val="0"/>
    <w:pPr>
      <w:ind w:firstLine="420" w:firstLineChars="100"/>
    </w:pPr>
  </w:style>
  <w:style w:type="paragraph" w:styleId="12">
    <w:name w:val="Body Text First Indent 2"/>
    <w:basedOn w:val="7"/>
    <w:next w:val="1"/>
    <w:qFormat/>
    <w:uiPriority w:val="0"/>
    <w:pPr>
      <w:ind w:firstLine="420" w:firstLineChars="200"/>
    </w:pPr>
    <w:rPr>
      <w:snapToGrid w:val="0"/>
      <w:kern w:val="0"/>
      <w:sz w:val="24"/>
      <w:szCs w:val="24"/>
    </w:rPr>
  </w:style>
  <w:style w:type="table" w:styleId="14">
    <w:name w:val="Table Grid"/>
    <w:basedOn w:val="13"/>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6">
    <w:name w:val="Strong"/>
    <w:basedOn w:val="15"/>
    <w:qFormat/>
    <w:uiPriority w:val="0"/>
    <w:rPr>
      <w:b/>
    </w:rPr>
  </w:style>
  <w:style w:type="character" w:styleId="17">
    <w:name w:val="Emphasis"/>
    <w:basedOn w:val="15"/>
    <w:qFormat/>
    <w:uiPriority w:val="0"/>
    <w:rPr>
      <w:i/>
    </w:rPr>
  </w:style>
  <w:style w:type="paragraph" w:customStyle="1" w:styleId="18">
    <w:name w:val="xl27"/>
    <w:basedOn w:val="1"/>
    <w:qFormat/>
    <w:uiPriority w:val="0"/>
    <w:pPr>
      <w:widowControl/>
      <w:pBdr>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rPr>
  </w:style>
  <w:style w:type="paragraph" w:customStyle="1" w:styleId="19">
    <w:name w:val="Default"/>
    <w:basedOn w:val="20"/>
    <w:qFormat/>
    <w:uiPriority w:val="0"/>
    <w:pPr>
      <w:widowControl w:val="0"/>
      <w:autoSpaceDE w:val="0"/>
      <w:autoSpaceDN w:val="0"/>
      <w:adjustRightInd w:val="0"/>
    </w:pPr>
    <w:rPr>
      <w:rFonts w:ascii="宋体"/>
      <w:color w:val="000000"/>
      <w:sz w:val="24"/>
      <w:szCs w:val="22"/>
      <w:lang w:val="en-US" w:eastAsia="zh-CN" w:bidi="ar-SA"/>
    </w:rPr>
  </w:style>
  <w:style w:type="paragraph" w:customStyle="1" w:styleId="20">
    <w:name w:val="纯文本1"/>
    <w:qFormat/>
    <w:uiPriority w:val="0"/>
    <w:pPr>
      <w:adjustRightInd w:val="0"/>
      <w:jc w:val="center"/>
      <w:textAlignment w:val="baseline"/>
    </w:pPr>
    <w:rPr>
      <w:rFonts w:ascii="宋体" w:hAnsi="Courier New" w:eastAsia="宋体" w:cs="Times New Roman"/>
      <w:sz w:val="24"/>
      <w:lang w:val="en-US" w:eastAsia="zh-CN" w:bidi="ar-SA"/>
    </w:rPr>
  </w:style>
  <w:style w:type="paragraph" w:customStyle="1" w:styleId="21">
    <w:name w:val=" Char Char Char1 Char Char Char Char Char Char Char Char Char Char Char Char Char"/>
    <w:basedOn w:val="1"/>
    <w:qFormat/>
    <w:uiPriority w:val="0"/>
    <w:rPr>
      <w:rFonts w:ascii="Times New Roman" w:hAnsi="Times New Roman" w:eastAsia="宋体" w:cs="Times New Roman"/>
      <w:sz w:val="24"/>
    </w:rPr>
  </w:style>
  <w:style w:type="paragraph" w:customStyle="1" w:styleId="22">
    <w:name w:val="报告正文"/>
    <w:basedOn w:val="1"/>
    <w:semiHidden/>
    <w:qFormat/>
    <w:uiPriority w:val="0"/>
    <w:pPr>
      <w:spacing w:line="440" w:lineRule="exact"/>
      <w:ind w:firstLine="200" w:firstLineChars="200"/>
      <w:jc w:val="left"/>
    </w:pPr>
    <w:rPr>
      <w:rFonts w:eastAsia="仿宋_GB2312"/>
      <w:sz w:val="24"/>
    </w:rPr>
  </w:style>
  <w:style w:type="paragraph" w:customStyle="1" w:styleId="23">
    <w:name w:val="表"/>
    <w:basedOn w:val="1"/>
    <w:next w:val="1"/>
    <w:qFormat/>
    <w:uiPriority w:val="0"/>
    <w:pPr>
      <w:snapToGrid w:val="0"/>
      <w:jc w:val="center"/>
    </w:pPr>
    <w:rPr>
      <w:spacing w:val="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7958</Words>
  <Characters>8885</Characters>
  <Lines>1</Lines>
  <Paragraphs>1</Paragraphs>
  <TotalTime>2</TotalTime>
  <ScaleCrop>false</ScaleCrop>
  <LinksUpToDate>false</LinksUpToDate>
  <CharactersWithSpaces>8892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Administrator</cp:lastModifiedBy>
  <cp:lastPrinted>2026-08-17T08:55:00Z</cp:lastPrinted>
  <dcterms:modified xsi:type="dcterms:W3CDTF">2026-09-04T00:52:16Z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BCBE0AFC2A5F44D8826CD00553A101CD_13</vt:lpwstr>
  </property>
  <property fmtid="{D5CDD505-2E9C-101B-9397-08002B2CF9AE}" pid="4" name="KSOTemplateDocerSaveRecord">
    <vt:lpwstr>eyJoZGlkIjoiZWE3NDRlNjQyYjNlZTdiMmNlMjBkMWNhNTkzOTRkMTAiLCJ1c2VySWQiOiI0NDQzOTcwNDEifQ==</vt:lpwstr>
  </property>
</Properties>
</file>