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00AB6">
      <w:pPr>
        <w:spacing w:line="360" w:lineRule="auto"/>
        <w:jc w:val="center"/>
        <w:rPr>
          <w:rFonts w:hint="eastAsia" w:ascii="Times New Roman" w:hAnsi="Times New Roman" w:cs="Times New Roman"/>
          <w:b/>
          <w:color w:val="auto"/>
          <w:sz w:val="32"/>
          <w:szCs w:val="32"/>
          <w:highlight w:val="none"/>
          <w:lang w:val="en-US" w:eastAsia="zh-CN"/>
        </w:rPr>
      </w:pPr>
      <w:r>
        <w:rPr>
          <w:rFonts w:hint="eastAsia" w:ascii="Times New Roman" w:hAnsi="Times New Roman" w:cs="Times New Roman"/>
          <w:b/>
          <w:color w:val="auto"/>
          <w:sz w:val="32"/>
          <w:szCs w:val="32"/>
          <w:highlight w:val="none"/>
          <w:lang w:val="en-US" w:eastAsia="zh-CN"/>
        </w:rPr>
        <w:t>安徽金鼎盛机械有限公司</w:t>
      </w:r>
    </w:p>
    <w:p w14:paraId="21C9E5D6">
      <w:pPr>
        <w:spacing w:line="360" w:lineRule="auto"/>
        <w:jc w:val="center"/>
        <w:rPr>
          <w:rFonts w:hint="eastAsia" w:ascii="Times New Roman" w:hAnsi="Times New Roman" w:cs="Times New Roman"/>
          <w:b/>
          <w:color w:val="auto"/>
          <w:sz w:val="32"/>
          <w:szCs w:val="32"/>
          <w:highlight w:val="none"/>
          <w:lang w:val="en-US" w:eastAsia="zh-CN"/>
        </w:rPr>
      </w:pPr>
      <w:r>
        <w:rPr>
          <w:rFonts w:hint="eastAsia" w:ascii="Times New Roman" w:hAnsi="Times New Roman" w:cs="Times New Roman"/>
          <w:b/>
          <w:color w:val="auto"/>
          <w:sz w:val="32"/>
          <w:szCs w:val="32"/>
          <w:highlight w:val="none"/>
          <w:lang w:val="en-US" w:eastAsia="zh-CN"/>
        </w:rPr>
        <w:t>年产100万件农牧机械配件项目</w:t>
      </w:r>
    </w:p>
    <w:p w14:paraId="29A38E53">
      <w:pPr>
        <w:spacing w:line="360" w:lineRule="auto"/>
        <w:jc w:val="center"/>
        <w:rPr>
          <w:rFonts w:hint="default" w:ascii="Times New Roman" w:hAnsi="Times New Roman" w:eastAsia="宋体" w:cs="Times New Roman"/>
          <w:b/>
          <w:bCs/>
          <w:color w:val="auto"/>
          <w:sz w:val="30"/>
          <w:szCs w:val="30"/>
          <w:highlight w:val="none"/>
          <w:lang w:val="en-US" w:eastAsia="zh-CN"/>
        </w:rPr>
      </w:pPr>
      <w:r>
        <w:rPr>
          <w:rFonts w:hint="default" w:ascii="Times New Roman" w:hAnsi="Times New Roman" w:eastAsia="宋体" w:cs="Times New Roman"/>
          <w:b/>
          <w:color w:val="auto"/>
          <w:sz w:val="32"/>
          <w:szCs w:val="32"/>
          <w:highlight w:val="none"/>
          <w:lang w:eastAsia="zh-CN"/>
        </w:rPr>
        <w:t>竣工环境保护验收</w:t>
      </w:r>
      <w:r>
        <w:rPr>
          <w:rFonts w:hint="default" w:ascii="Times New Roman" w:hAnsi="Times New Roman" w:eastAsia="宋体" w:cs="Times New Roman"/>
          <w:b/>
          <w:color w:val="auto"/>
          <w:sz w:val="32"/>
          <w:szCs w:val="32"/>
          <w:highlight w:val="none"/>
        </w:rPr>
        <w:t>意见</w:t>
      </w:r>
    </w:p>
    <w:p w14:paraId="1227F6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20</w:t>
      </w:r>
      <w:r>
        <w:rPr>
          <w:rFonts w:hint="default" w:ascii="Times New Roman" w:hAnsi="Times New Roman" w:eastAsia="宋体" w:cs="Times New Roman"/>
          <w:color w:val="auto"/>
          <w:kern w:val="0"/>
          <w:sz w:val="24"/>
          <w:highlight w:val="none"/>
          <w:lang w:val="en-US" w:eastAsia="zh-CN"/>
        </w:rPr>
        <w:t>2</w:t>
      </w:r>
      <w:r>
        <w:rPr>
          <w:rFonts w:hint="eastAsia" w:ascii="Times New Roman" w:hAnsi="Times New Roman"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rPr>
        <w:t>年</w:t>
      </w:r>
      <w:r>
        <w:rPr>
          <w:rFonts w:hint="eastAsia" w:ascii="Times New Roman" w:hAnsi="Times New Roman" w:cs="Times New Roman"/>
          <w:color w:val="auto"/>
          <w:kern w:val="0"/>
          <w:sz w:val="24"/>
          <w:highlight w:val="none"/>
          <w:lang w:val="en-US" w:eastAsia="zh-CN"/>
        </w:rPr>
        <w:t>9</w:t>
      </w:r>
      <w:r>
        <w:rPr>
          <w:rFonts w:hint="default" w:ascii="Times New Roman" w:hAnsi="Times New Roman" w:eastAsia="宋体" w:cs="Times New Roman"/>
          <w:color w:val="auto"/>
          <w:kern w:val="0"/>
          <w:sz w:val="24"/>
          <w:highlight w:val="none"/>
        </w:rPr>
        <w:t>月</w:t>
      </w:r>
      <w:r>
        <w:rPr>
          <w:rFonts w:hint="eastAsia" w:ascii="Times New Roman" w:hAnsi="Times New Roman" w:cs="Times New Roman"/>
          <w:color w:val="auto"/>
          <w:kern w:val="0"/>
          <w:sz w:val="24"/>
          <w:highlight w:val="none"/>
          <w:lang w:val="en-US" w:eastAsia="zh-CN"/>
        </w:rPr>
        <w:t>11</w:t>
      </w:r>
      <w:r>
        <w:rPr>
          <w:rFonts w:hint="default" w:ascii="Times New Roman" w:hAnsi="Times New Roman" w:eastAsia="宋体" w:cs="Times New Roman"/>
          <w:color w:val="auto"/>
          <w:kern w:val="0"/>
          <w:sz w:val="24"/>
          <w:highlight w:val="none"/>
        </w:rPr>
        <w:t>日，建设单位</w:t>
      </w:r>
      <w:r>
        <w:rPr>
          <w:rFonts w:hint="eastAsia" w:ascii="Times New Roman" w:hAnsi="Times New Roman" w:cs="Times New Roman"/>
          <w:color w:val="auto"/>
          <w:sz w:val="24"/>
          <w:szCs w:val="24"/>
          <w:highlight w:val="none"/>
          <w:lang w:val="en-US" w:eastAsia="zh-CN"/>
        </w:rPr>
        <w:t>安徽金鼎盛机械有限公司</w:t>
      </w:r>
      <w:r>
        <w:rPr>
          <w:rFonts w:hint="default" w:ascii="Times New Roman" w:hAnsi="Times New Roman" w:eastAsia="宋体" w:cs="Times New Roman"/>
          <w:color w:val="auto"/>
          <w:kern w:val="0"/>
          <w:sz w:val="24"/>
          <w:highlight w:val="none"/>
        </w:rPr>
        <w:t>，根据《</w:t>
      </w:r>
      <w:r>
        <w:rPr>
          <w:rFonts w:hint="eastAsia" w:ascii="Times New Roman" w:hAnsi="Times New Roman" w:cs="Times New Roman"/>
          <w:color w:val="auto"/>
          <w:kern w:val="0"/>
          <w:sz w:val="24"/>
          <w:highlight w:val="none"/>
          <w:lang w:val="en-US" w:eastAsia="zh-CN"/>
        </w:rPr>
        <w:t>安徽金鼎盛机械有限公司年产100万件农牧机械配件项目</w:t>
      </w:r>
      <w:r>
        <w:rPr>
          <w:rFonts w:hint="default" w:ascii="Times New Roman" w:hAnsi="Times New Roman" w:eastAsia="宋体" w:cs="Times New Roman"/>
          <w:color w:val="auto"/>
          <w:kern w:val="0"/>
          <w:sz w:val="24"/>
          <w:highlight w:val="none"/>
        </w:rPr>
        <w:t>竣工环境保护验收监测报告</w:t>
      </w:r>
      <w:r>
        <w:rPr>
          <w:rFonts w:hint="eastAsia" w:ascii="Times New Roman" w:hAnsi="Times New Roman" w:cs="Times New Roman"/>
          <w:color w:val="auto"/>
          <w:kern w:val="0"/>
          <w:sz w:val="24"/>
          <w:highlight w:val="none"/>
          <w:lang w:val="en-US" w:eastAsia="zh-CN"/>
        </w:rPr>
        <w:t>表</w:t>
      </w:r>
      <w:r>
        <w:rPr>
          <w:rFonts w:hint="default" w:ascii="Times New Roman" w:hAnsi="Times New Roman" w:eastAsia="宋体" w:cs="Times New Roman"/>
          <w:color w:val="auto"/>
          <w:kern w:val="0"/>
          <w:sz w:val="24"/>
          <w:highlight w:val="none"/>
        </w:rPr>
        <w:t>》，并对照《建设项目竣工环境保护验收暂行办法》，严格依照国家有关法律法规、建设项目竣工环境保护验收技术规范、项目</w:t>
      </w:r>
      <w:r>
        <w:rPr>
          <w:rFonts w:hint="default" w:ascii="Times New Roman" w:hAnsi="Times New Roman" w:eastAsia="宋体" w:cs="Times New Roman"/>
          <w:color w:val="auto"/>
          <w:kern w:val="0"/>
          <w:sz w:val="24"/>
          <w:highlight w:val="none"/>
          <w:lang w:val="en-US" w:eastAsia="zh-CN"/>
        </w:rPr>
        <w:t>环境影响</w:t>
      </w:r>
      <w:r>
        <w:rPr>
          <w:rFonts w:hint="eastAsia" w:ascii="Times New Roman" w:hAnsi="Times New Roman" w:cs="Times New Roman"/>
          <w:color w:val="auto"/>
          <w:kern w:val="0"/>
          <w:sz w:val="24"/>
          <w:highlight w:val="none"/>
          <w:lang w:val="en-US" w:eastAsia="zh-CN"/>
        </w:rPr>
        <w:t>报告</w:t>
      </w:r>
      <w:r>
        <w:rPr>
          <w:rFonts w:hint="default" w:ascii="Times New Roman" w:hAnsi="Times New Roman" w:eastAsia="宋体" w:cs="Times New Roman"/>
          <w:color w:val="auto"/>
          <w:kern w:val="0"/>
          <w:sz w:val="24"/>
          <w:highlight w:val="none"/>
          <w:lang w:val="en-US" w:eastAsia="zh-CN"/>
        </w:rPr>
        <w:t>表和批复文件</w:t>
      </w:r>
      <w:r>
        <w:rPr>
          <w:rFonts w:hint="default" w:ascii="Times New Roman" w:hAnsi="Times New Roman" w:eastAsia="宋体" w:cs="Times New Roman"/>
          <w:color w:val="auto"/>
          <w:kern w:val="0"/>
          <w:sz w:val="24"/>
          <w:highlight w:val="none"/>
        </w:rPr>
        <w:t>等要求对</w:t>
      </w:r>
      <w:r>
        <w:rPr>
          <w:rFonts w:hint="eastAsia" w:ascii="Times New Roman" w:hAnsi="Times New Roman" w:cs="Times New Roman"/>
          <w:color w:val="auto"/>
          <w:kern w:val="0"/>
          <w:sz w:val="24"/>
          <w:highlight w:val="none"/>
          <w:lang w:val="en-US" w:eastAsia="zh-CN"/>
        </w:rPr>
        <w:t>安徽金鼎盛机械有限公司年产100万件农牧机械配件项目（以下简称本项目）</w:t>
      </w:r>
      <w:r>
        <w:rPr>
          <w:rFonts w:hint="default" w:ascii="Times New Roman" w:hAnsi="Times New Roman" w:eastAsia="宋体" w:cs="Times New Roman"/>
          <w:color w:val="auto"/>
          <w:kern w:val="0"/>
          <w:sz w:val="24"/>
          <w:highlight w:val="none"/>
        </w:rPr>
        <w:t>进行验收，提出意见如下：</w:t>
      </w:r>
    </w:p>
    <w:p w14:paraId="55D06FE4">
      <w:pPr>
        <w:numPr>
          <w:ilvl w:val="0"/>
          <w:numId w:val="2"/>
        </w:numPr>
        <w:spacing w:line="360" w:lineRule="auto"/>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建设项目基本情况：</w:t>
      </w:r>
    </w:p>
    <w:p w14:paraId="0DE2E8C4">
      <w:pPr>
        <w:spacing w:line="360" w:lineRule="auto"/>
        <w:ind w:firstLine="482" w:firstLineChars="200"/>
        <w:rPr>
          <w:rFonts w:hint="eastAsia" w:ascii="Times New Roman" w:hAnsi="Times New Roman" w:cs="Times New Roman"/>
          <w:b/>
          <w:bCs/>
          <w:color w:val="auto"/>
          <w:kern w:val="0"/>
          <w:sz w:val="24"/>
          <w:highlight w:val="none"/>
          <w:lang w:val="en-US" w:eastAsia="zh-CN"/>
        </w:rPr>
      </w:pPr>
      <w:r>
        <w:rPr>
          <w:rFonts w:hint="eastAsia" w:ascii="Times New Roman" w:hAnsi="Times New Roman" w:cs="Times New Roman"/>
          <w:b/>
          <w:bCs/>
          <w:color w:val="auto"/>
          <w:kern w:val="0"/>
          <w:sz w:val="24"/>
          <w:highlight w:val="none"/>
          <w:lang w:val="en-US" w:eastAsia="zh-CN"/>
        </w:rPr>
        <w:t>环评审批情况：</w:t>
      </w:r>
    </w:p>
    <w:p w14:paraId="6D2E5542">
      <w:pPr>
        <w:spacing w:line="360" w:lineRule="auto"/>
        <w:ind w:firstLine="480" w:firstLineChars="200"/>
        <w:rPr>
          <w:rFonts w:hint="eastAsia" w:ascii="Times New Roman" w:hAnsi="Times New Roman"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安徽金鼎盛机械有限公司成立于2022年2月24日，主要从事农林牧渔机械配件制造；农林牧渔机械配件销售；农业机械制造；机械零件、零部件加工等。安徽金鼎盛机械有限公司拟投资13000万元实施年产100万件农牧机械配件项目。项目选址于安徽省宣城市广德市经济开发区北区白马湖路19号，项目占地面积约14508.58m</w:t>
      </w:r>
      <w:r>
        <w:rPr>
          <w:rFonts w:hint="eastAsia" w:ascii="Times New Roman" w:hAnsi="Times New Roman" w:cs="Times New Roman"/>
          <w:color w:val="auto"/>
          <w:kern w:val="0"/>
          <w:sz w:val="24"/>
          <w:highlight w:val="none"/>
          <w:vertAlign w:val="superscript"/>
          <w:lang w:val="en-US" w:eastAsia="zh-CN"/>
        </w:rPr>
        <w:t>2</w:t>
      </w:r>
      <w:r>
        <w:rPr>
          <w:rFonts w:hint="eastAsia" w:ascii="Times New Roman" w:hAnsi="Times New Roman" w:cs="Times New Roman"/>
          <w:color w:val="auto"/>
          <w:kern w:val="0"/>
          <w:sz w:val="24"/>
          <w:highlight w:val="none"/>
          <w:lang w:val="en-US" w:eastAsia="zh-CN"/>
        </w:rPr>
        <w:t>，新建1幢三层楼的研发房，1幢一层楼的生产车间，嫁接已建的1幢三层楼的办公楼。项目已由广德市发展改革委出具项目备案通知书，项目代码为2205-341822-04-05-494633。为严格履行环境影响评价制度，企业于2022年10月委托湖州博胜环保科技有限公司编制了《安徽金鼎盛机械有限公司年产100万件农牧机械配件项目环境影响报告表》，并于2022年10月19日通过宣城市广德市生态环境分局审批，审批文号为广环审〔2022〕179号。企业已完成固定污染源排污登记，登记编号为：91341822MA8NPUUU77001X。</w:t>
      </w:r>
    </w:p>
    <w:p w14:paraId="3E3B9D80">
      <w:pPr>
        <w:spacing w:line="360" w:lineRule="auto"/>
        <w:ind w:firstLine="482" w:firstLineChars="200"/>
        <w:rPr>
          <w:rFonts w:hint="eastAsia" w:ascii="Times New Roman" w:hAnsi="Times New Roman" w:cs="Times New Roman"/>
          <w:b/>
          <w:bCs/>
          <w:color w:val="auto"/>
          <w:kern w:val="0"/>
          <w:sz w:val="24"/>
          <w:highlight w:val="none"/>
          <w:lang w:val="en-US" w:eastAsia="zh-CN"/>
        </w:rPr>
      </w:pPr>
      <w:r>
        <w:rPr>
          <w:rFonts w:hint="eastAsia" w:ascii="Times New Roman" w:hAnsi="Times New Roman" w:cs="Times New Roman"/>
          <w:b/>
          <w:bCs/>
          <w:color w:val="auto"/>
          <w:kern w:val="0"/>
          <w:sz w:val="24"/>
          <w:highlight w:val="none"/>
          <w:lang w:val="en-US" w:eastAsia="zh-CN"/>
        </w:rPr>
        <w:t>验收情况：</w:t>
      </w:r>
    </w:p>
    <w:p w14:paraId="6E321901">
      <w:pPr>
        <w:spacing w:line="360" w:lineRule="auto"/>
        <w:ind w:firstLine="480" w:firstLineChars="200"/>
        <w:rPr>
          <w:rFonts w:hint="eastAsia" w:ascii="Times New Roman" w:hAnsi="Times New Roman"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本项目于2022年11月11日开工建设进行设备安装，于2024年9月30日竣工，于2024年10月3日-2025年8月2日进行调试生产。本项目实际总投资13000万元，其中环保投资100万元，约占项目总投资的0.77％。企业于2025年2月着手开展本项目的自主竣工环境保护验收工作，对照项目环境影响报告表文本和批复文件，对项目和环境保护设施建设情况进行了验收自查，然后根据自查结果于2025年2月编制完成验收监测方案，并委托安徽鑫程检测科技有限公司于2025年2月17日-2025年2月18日进行了现场验收监测，通过对该工程“三同时”执行情况和效果的检查并依据监测结果及相应的国家有关环境标准，编制了本项目竣工环境保护验收监测报告表。</w:t>
      </w:r>
    </w:p>
    <w:p w14:paraId="0F18AC80">
      <w:pPr>
        <w:spacing w:line="360" w:lineRule="auto"/>
        <w:ind w:firstLine="480" w:firstLineChars="200"/>
        <w:rPr>
          <w:rFonts w:hint="default"/>
          <w:color w:val="auto"/>
          <w:highlight w:val="none"/>
        </w:rPr>
      </w:pPr>
      <w:r>
        <w:rPr>
          <w:rFonts w:hint="eastAsia" w:ascii="Times New Roman" w:hAnsi="Times New Roman" w:cs="Times New Roman"/>
          <w:color w:val="auto"/>
          <w:kern w:val="0"/>
          <w:sz w:val="24"/>
          <w:highlight w:val="none"/>
          <w:lang w:val="en-US" w:eastAsia="zh-CN"/>
        </w:rPr>
        <w:t>本次针对企业在产的年产100万件农牧机械配件项目及其配套工程、环保工程进行竣工环境保护“三同时”验收</w:t>
      </w:r>
      <w:r>
        <w:rPr>
          <w:rFonts w:hint="eastAsia" w:ascii="Times New Roman" w:hAnsi="Times New Roman"/>
          <w:color w:val="auto"/>
          <w:sz w:val="24"/>
          <w:highlight w:val="none"/>
          <w:lang w:val="en-US" w:eastAsia="zh-CN"/>
        </w:rPr>
        <w:t>。</w:t>
      </w:r>
    </w:p>
    <w:p w14:paraId="58DC3457">
      <w:pPr>
        <w:spacing w:line="360" w:lineRule="auto"/>
        <w:ind w:firstLine="482" w:firstLineChars="200"/>
        <w:outlineLvl w:val="0"/>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color w:val="auto"/>
          <w:kern w:val="0"/>
          <w:sz w:val="24"/>
          <w:highlight w:val="none"/>
        </w:rPr>
        <w:t>二、工程变动情况</w:t>
      </w:r>
    </w:p>
    <w:p w14:paraId="551C7489">
      <w:pPr>
        <w:spacing w:line="360" w:lineRule="auto"/>
        <w:ind w:firstLine="480" w:firstLineChars="200"/>
        <w:jc w:val="both"/>
        <w:outlineLvl w:val="0"/>
        <w:rPr>
          <w:rFonts w:hint="eastAsia" w:ascii="Times New Roman" w:hAnsi="Times New Roman" w:eastAsia="宋体" w:cs="Times New Roman"/>
          <w:b w:val="0"/>
          <w:bCs/>
          <w:color w:val="auto"/>
          <w:kern w:val="0"/>
          <w:sz w:val="24"/>
          <w:szCs w:val="24"/>
          <w:highlight w:val="none"/>
          <w:lang w:eastAsia="zh-CN"/>
        </w:rPr>
      </w:pPr>
      <w:bookmarkStart w:id="0" w:name="_Toc498412723"/>
      <w:bookmarkStart w:id="1" w:name="_Toc498351802"/>
      <w:bookmarkStart w:id="2" w:name="_Toc498700049"/>
      <w:r>
        <w:rPr>
          <w:rFonts w:ascii="Times New Roman" w:hAnsi="Times New Roman" w:eastAsia="宋体" w:cs="Times New Roman"/>
          <w:b w:val="0"/>
          <w:bCs/>
          <w:color w:val="auto"/>
          <w:kern w:val="0"/>
          <w:sz w:val="24"/>
          <w:szCs w:val="24"/>
          <w:highlight w:val="none"/>
        </w:rPr>
        <w:t>经现场踏勘并对照环评文件</w:t>
      </w:r>
      <w:r>
        <w:rPr>
          <w:rFonts w:hint="eastAsia" w:ascii="Times New Roman" w:hAnsi="Times New Roman" w:eastAsia="宋体" w:cs="Times New Roman"/>
          <w:b w:val="0"/>
          <w:bCs/>
          <w:color w:val="auto"/>
          <w:kern w:val="0"/>
          <w:sz w:val="24"/>
          <w:szCs w:val="24"/>
          <w:highlight w:val="none"/>
          <w:lang w:eastAsia="zh-CN"/>
        </w:rPr>
        <w:t>：</w:t>
      </w:r>
    </w:p>
    <w:p w14:paraId="44BF6339">
      <w:pPr>
        <w:spacing w:line="360" w:lineRule="auto"/>
        <w:ind w:firstLine="480"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eastAsia="zh-CN"/>
        </w:rPr>
        <w:t>（</w:t>
      </w:r>
      <w:r>
        <w:rPr>
          <w:rFonts w:hint="eastAsia" w:ascii="Times New Roman" w:hAnsi="Times New Roman" w:cs="Times New Roman"/>
          <w:b w:val="0"/>
          <w:bCs/>
          <w:color w:val="auto"/>
          <w:kern w:val="0"/>
          <w:sz w:val="24"/>
          <w:szCs w:val="24"/>
          <w:highlight w:val="none"/>
          <w:lang w:val="en-US" w:eastAsia="zh-CN"/>
        </w:rPr>
        <w:t>1</w:t>
      </w:r>
      <w:r>
        <w:rPr>
          <w:rFonts w:hint="eastAsia" w:ascii="Times New Roman" w:hAnsi="Times New Roman" w:cs="Times New Roman"/>
          <w:b w:val="0"/>
          <w:bCs/>
          <w:color w:val="auto"/>
          <w:kern w:val="0"/>
          <w:sz w:val="24"/>
          <w:szCs w:val="24"/>
          <w:highlight w:val="none"/>
          <w:lang w:eastAsia="zh-CN"/>
        </w:rPr>
        <w:t>）</w:t>
      </w:r>
      <w:r>
        <w:rPr>
          <w:rFonts w:hint="eastAsia" w:ascii="Times New Roman" w:hAnsi="Times New Roman" w:cs="Times New Roman"/>
          <w:b w:val="0"/>
          <w:bCs/>
          <w:color w:val="auto"/>
          <w:kern w:val="0"/>
          <w:sz w:val="24"/>
          <w:szCs w:val="24"/>
          <w:highlight w:val="none"/>
          <w:lang w:val="en-US" w:eastAsia="zh-CN"/>
        </w:rPr>
        <w:t>建设地点与环评审批一致，总平面布置与环评审批部分不一致，变化如下：</w:t>
      </w:r>
      <w:r>
        <w:rPr>
          <w:rFonts w:hint="eastAsia" w:ascii="宋体" w:hAnsi="宋体" w:eastAsia="宋体" w:cs="宋体"/>
          <w:b/>
          <w:bCs/>
          <w:kern w:val="2"/>
          <w:sz w:val="24"/>
          <w:szCs w:val="24"/>
        </w:rPr>
        <w:t>环评审批</w:t>
      </w:r>
      <w:r>
        <w:rPr>
          <w:rFonts w:hint="eastAsia" w:ascii="宋体" w:hAnsi="宋体" w:eastAsia="宋体" w:cs="宋体"/>
          <w:b w:val="0"/>
          <w:bCs w:val="0"/>
          <w:color w:val="0000FF"/>
          <w:kern w:val="2"/>
          <w:sz w:val="24"/>
          <w:szCs w:val="24"/>
        </w:rPr>
        <w:t>生产车间设置在厂区南部，建筑结构为钢混结构，共</w:t>
      </w:r>
      <w:r>
        <w:rPr>
          <w:rFonts w:hint="default" w:ascii="Times New Roman" w:hAnsi="Times New Roman" w:eastAsia="宋体" w:cs="Times New Roman"/>
          <w:b w:val="0"/>
          <w:bCs w:val="0"/>
          <w:color w:val="0000FF"/>
          <w:kern w:val="2"/>
          <w:sz w:val="24"/>
          <w:szCs w:val="24"/>
        </w:rPr>
        <w:t>1F</w:t>
      </w:r>
      <w:r>
        <w:rPr>
          <w:rFonts w:hint="eastAsia" w:ascii="宋体" w:hAnsi="宋体" w:eastAsia="宋体" w:cs="宋体"/>
          <w:b w:val="0"/>
          <w:bCs w:val="0"/>
          <w:color w:val="0000FF"/>
          <w:kern w:val="2"/>
          <w:sz w:val="24"/>
          <w:szCs w:val="24"/>
        </w:rPr>
        <w:t>，车间北侧主要设置机加工车床区、原料仓库和滚齿区，东侧设置磨床、热处理炉和上下料区，南侧设置锯床和锻造车间，车间中部设置卸货雨棚，生产车间占地面积</w:t>
      </w:r>
      <w:r>
        <w:rPr>
          <w:rFonts w:hint="default" w:ascii="Times New Roman" w:hAnsi="Times New Roman" w:eastAsia="宋体" w:cs="Times New Roman"/>
          <w:b w:val="0"/>
          <w:bCs w:val="0"/>
          <w:color w:val="0000FF"/>
          <w:kern w:val="2"/>
          <w:sz w:val="24"/>
          <w:szCs w:val="24"/>
        </w:rPr>
        <w:t>7475m</w:t>
      </w:r>
      <w:r>
        <w:rPr>
          <w:rFonts w:hint="default" w:ascii="Times New Roman" w:hAnsi="Times New Roman" w:eastAsia="宋体" w:cs="Times New Roman"/>
          <w:b w:val="0"/>
          <w:bCs w:val="0"/>
          <w:color w:val="0000FF"/>
          <w:kern w:val="2"/>
          <w:sz w:val="24"/>
          <w:szCs w:val="24"/>
          <w:vertAlign w:val="superscript"/>
        </w:rPr>
        <w:t>2</w:t>
      </w:r>
      <w:r>
        <w:rPr>
          <w:rFonts w:hint="eastAsia" w:ascii="宋体" w:hAnsi="宋体" w:eastAsia="宋体" w:cs="宋体"/>
          <w:color w:val="0000FF"/>
          <w:kern w:val="2"/>
          <w:sz w:val="24"/>
          <w:szCs w:val="24"/>
        </w:rPr>
        <w:t>；原料仓库位于车间西侧主要设置原材料仓库，面积约为</w:t>
      </w:r>
      <w:r>
        <w:rPr>
          <w:rFonts w:hint="default" w:ascii="Times New Roman" w:hAnsi="Times New Roman" w:eastAsia="宋体" w:cs="Times New Roman"/>
          <w:color w:val="0000FF"/>
          <w:kern w:val="2"/>
          <w:sz w:val="24"/>
          <w:szCs w:val="24"/>
        </w:rPr>
        <w:t>480m</w:t>
      </w:r>
      <w:r>
        <w:rPr>
          <w:rFonts w:hint="default" w:ascii="Times New Roman" w:hAnsi="Times New Roman" w:eastAsia="宋体" w:cs="Times New Roman"/>
          <w:color w:val="0000FF"/>
          <w:kern w:val="2"/>
          <w:sz w:val="24"/>
          <w:szCs w:val="24"/>
          <w:vertAlign w:val="superscript"/>
        </w:rPr>
        <w:t>2</w:t>
      </w:r>
      <w:r>
        <w:rPr>
          <w:rFonts w:hint="eastAsia" w:ascii="宋体" w:hAnsi="宋体" w:eastAsia="宋体" w:cs="宋体"/>
          <w:color w:val="0000FF"/>
          <w:kern w:val="2"/>
          <w:sz w:val="24"/>
          <w:szCs w:val="24"/>
        </w:rPr>
        <w:t>，用于堆放原材料；化学品仓库位于车间西南侧，面积约为</w:t>
      </w:r>
      <w:r>
        <w:rPr>
          <w:rFonts w:hint="default" w:ascii="Times New Roman" w:hAnsi="Times New Roman" w:eastAsia="宋体" w:cs="Times New Roman"/>
          <w:color w:val="0000FF"/>
          <w:kern w:val="2"/>
          <w:sz w:val="24"/>
          <w:szCs w:val="24"/>
        </w:rPr>
        <w:t>32m</w:t>
      </w:r>
      <w:r>
        <w:rPr>
          <w:rFonts w:hint="default" w:ascii="Times New Roman" w:hAnsi="Times New Roman" w:eastAsia="宋体" w:cs="Times New Roman"/>
          <w:color w:val="0000FF"/>
          <w:kern w:val="2"/>
          <w:sz w:val="24"/>
          <w:szCs w:val="24"/>
          <w:vertAlign w:val="superscript"/>
        </w:rPr>
        <w:t>2</w:t>
      </w:r>
      <w:r>
        <w:rPr>
          <w:rFonts w:hint="eastAsia" w:ascii="宋体" w:hAnsi="宋体" w:eastAsia="宋体" w:cs="宋体"/>
          <w:color w:val="0000FF"/>
          <w:kern w:val="2"/>
          <w:sz w:val="24"/>
          <w:szCs w:val="24"/>
        </w:rPr>
        <w:t>，用于堆放甲醇、淬火油、液压油、清洗剂等化学品；成品仓库位于车间北侧，用于堆放成品和出库；一般固废仓库位于车间外西南侧，用于存放一般废物，面积约为</w:t>
      </w:r>
      <w:r>
        <w:rPr>
          <w:rFonts w:hint="default" w:ascii="Times New Roman" w:hAnsi="Times New Roman" w:eastAsia="宋体" w:cs="Times New Roman"/>
          <w:color w:val="0000FF"/>
          <w:kern w:val="2"/>
          <w:sz w:val="24"/>
          <w:szCs w:val="24"/>
        </w:rPr>
        <w:t>32m</w:t>
      </w:r>
      <w:r>
        <w:rPr>
          <w:rFonts w:hint="default" w:ascii="Times New Roman" w:hAnsi="Times New Roman" w:eastAsia="宋体" w:cs="Times New Roman"/>
          <w:color w:val="0000FF"/>
          <w:kern w:val="2"/>
          <w:sz w:val="24"/>
          <w:szCs w:val="24"/>
          <w:vertAlign w:val="superscript"/>
        </w:rPr>
        <w:t>2</w:t>
      </w:r>
      <w:r>
        <w:rPr>
          <w:rFonts w:hint="eastAsia" w:ascii="宋体" w:hAnsi="宋体" w:eastAsia="宋体" w:cs="宋体"/>
          <w:color w:val="0000FF"/>
          <w:kern w:val="2"/>
          <w:sz w:val="24"/>
          <w:szCs w:val="24"/>
        </w:rPr>
        <w:t>。</w:t>
      </w:r>
      <w:r>
        <w:rPr>
          <w:rFonts w:hint="eastAsia" w:ascii="宋体" w:hAnsi="宋体" w:eastAsia="宋体" w:cs="宋体"/>
          <w:b/>
          <w:bCs/>
          <w:color w:val="0000FF"/>
          <w:kern w:val="2"/>
          <w:sz w:val="24"/>
          <w:szCs w:val="24"/>
        </w:rPr>
        <w:t>实际</w:t>
      </w:r>
      <w:r>
        <w:rPr>
          <w:rFonts w:hint="eastAsia" w:ascii="宋体" w:hAnsi="宋体" w:eastAsia="宋体" w:cs="宋体"/>
          <w:color w:val="0000FF"/>
          <w:kern w:val="2"/>
          <w:sz w:val="24"/>
          <w:szCs w:val="24"/>
        </w:rPr>
        <w:t>生产车间设置在厂区南部，主要用于生产，共</w:t>
      </w:r>
      <w:r>
        <w:rPr>
          <w:rFonts w:hint="default" w:ascii="Times New Roman" w:hAnsi="Times New Roman" w:eastAsia="宋体" w:cs="Times New Roman"/>
          <w:color w:val="0000FF"/>
          <w:kern w:val="2"/>
          <w:sz w:val="24"/>
          <w:szCs w:val="24"/>
        </w:rPr>
        <w:t>1F</w:t>
      </w:r>
      <w:r>
        <w:rPr>
          <w:rFonts w:hint="eastAsia" w:ascii="宋体" w:hAnsi="宋体" w:eastAsia="宋体" w:cs="宋体"/>
          <w:color w:val="0000FF"/>
          <w:kern w:val="2"/>
          <w:sz w:val="24"/>
          <w:szCs w:val="24"/>
        </w:rPr>
        <w:t>，建筑结构为钢混结构，车间北侧主要设置机加工车床区、滚齿区及一般固废堆放区等，东侧设置磨床、热处理炉、上下料区、原料区等，南侧设置锯床、锻造车间、原料区等，车间中部设置数控钻孔机、数控车床、普通车床、原料区等，同时车间中部设置卸货雨棚，生产车间占地面积</w:t>
      </w:r>
      <w:r>
        <w:rPr>
          <w:rFonts w:hint="default" w:ascii="Times New Roman" w:hAnsi="Times New Roman" w:eastAsia="宋体" w:cs="Times New Roman"/>
          <w:color w:val="0000FF"/>
          <w:kern w:val="2"/>
          <w:sz w:val="24"/>
          <w:szCs w:val="24"/>
        </w:rPr>
        <w:t>7475m</w:t>
      </w:r>
      <w:r>
        <w:rPr>
          <w:rFonts w:hint="default" w:ascii="Times New Roman" w:hAnsi="Times New Roman" w:eastAsia="宋体" w:cs="Times New Roman"/>
          <w:color w:val="0000FF"/>
          <w:kern w:val="2"/>
          <w:sz w:val="24"/>
          <w:szCs w:val="24"/>
          <w:vertAlign w:val="superscript"/>
        </w:rPr>
        <w:t>2</w:t>
      </w:r>
      <w:r>
        <w:rPr>
          <w:rFonts w:hint="eastAsia" w:ascii="宋体" w:hAnsi="宋体" w:eastAsia="宋体" w:cs="宋体"/>
          <w:color w:val="0000FF"/>
          <w:kern w:val="2"/>
          <w:sz w:val="24"/>
          <w:szCs w:val="24"/>
        </w:rPr>
        <w:t>；原料仓库位于车间内未设置专门的原材料仓库，实际在车间内北侧、东侧、南侧和车间中部设置原料堆放区，用于堆放原材料；化学品仓库位于厂区北侧，面积约为</w:t>
      </w:r>
      <w:r>
        <w:rPr>
          <w:rFonts w:hint="default" w:ascii="Times New Roman" w:hAnsi="Times New Roman" w:eastAsia="宋体" w:cs="Times New Roman"/>
          <w:color w:val="0000FF"/>
          <w:kern w:val="2"/>
          <w:sz w:val="24"/>
          <w:szCs w:val="24"/>
        </w:rPr>
        <w:t>32m</w:t>
      </w:r>
      <w:r>
        <w:rPr>
          <w:rFonts w:hint="default" w:ascii="Times New Roman" w:hAnsi="Times New Roman" w:eastAsia="宋体" w:cs="Times New Roman"/>
          <w:color w:val="0000FF"/>
          <w:kern w:val="2"/>
          <w:sz w:val="24"/>
          <w:szCs w:val="24"/>
          <w:vertAlign w:val="superscript"/>
        </w:rPr>
        <w:t>2</w:t>
      </w:r>
      <w:r>
        <w:rPr>
          <w:rFonts w:hint="eastAsia" w:ascii="宋体" w:hAnsi="宋体" w:eastAsia="宋体" w:cs="宋体"/>
          <w:color w:val="0000FF"/>
          <w:kern w:val="2"/>
          <w:sz w:val="24"/>
          <w:szCs w:val="24"/>
        </w:rPr>
        <w:t>，用于堆放甲醇、淬火油、液压油、清洗剂等化学品；成品仓库位于车间外西南侧，用于堆放成品和出库；一般固废仓库位于车间内东北侧，用于存放一般废物，面积约为</w:t>
      </w:r>
      <w:r>
        <w:rPr>
          <w:rFonts w:hint="default" w:ascii="Times New Roman" w:hAnsi="Times New Roman" w:eastAsia="宋体" w:cs="Times New Roman"/>
          <w:color w:val="0000FF"/>
          <w:kern w:val="2"/>
          <w:sz w:val="24"/>
          <w:szCs w:val="24"/>
        </w:rPr>
        <w:t>32m</w:t>
      </w:r>
      <w:r>
        <w:rPr>
          <w:rFonts w:hint="default" w:ascii="Times New Roman" w:hAnsi="Times New Roman" w:eastAsia="宋体" w:cs="Times New Roman"/>
          <w:color w:val="0000FF"/>
          <w:kern w:val="2"/>
          <w:sz w:val="24"/>
          <w:szCs w:val="24"/>
          <w:vertAlign w:val="superscript"/>
        </w:rPr>
        <w:t>2</w:t>
      </w:r>
      <w:r>
        <w:rPr>
          <w:rFonts w:hint="eastAsia" w:ascii="宋体" w:hAnsi="宋体" w:eastAsia="宋体" w:cs="宋体"/>
          <w:color w:val="0000FF"/>
          <w:kern w:val="2"/>
          <w:sz w:val="24"/>
          <w:szCs w:val="24"/>
        </w:rPr>
        <w:t>。</w:t>
      </w:r>
      <w:r>
        <w:rPr>
          <w:rFonts w:hint="eastAsia" w:ascii="宋体" w:hAnsi="宋体" w:eastAsia="宋体" w:cs="宋体"/>
          <w:kern w:val="2"/>
          <w:sz w:val="24"/>
          <w:szCs w:val="24"/>
        </w:rPr>
        <w:t>总建筑面积与环评审批一致。上述变化未导致环境防护距离范围变化且新增敏感点的情况</w:t>
      </w:r>
      <w:r>
        <w:rPr>
          <w:rFonts w:hint="eastAsia" w:ascii="Times New Roman" w:hAnsi="Times New Roman" w:cs="Times New Roman"/>
          <w:b w:val="0"/>
          <w:bCs/>
          <w:color w:val="auto"/>
          <w:kern w:val="0"/>
          <w:sz w:val="24"/>
          <w:szCs w:val="24"/>
          <w:highlight w:val="none"/>
          <w:lang w:val="en-US" w:eastAsia="zh-CN"/>
        </w:rPr>
        <w:t>。</w:t>
      </w:r>
    </w:p>
    <w:p w14:paraId="3B13D194">
      <w:pPr>
        <w:spacing w:line="360" w:lineRule="auto"/>
        <w:ind w:firstLine="480"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（2）产品品种与环评审批一致；</w:t>
      </w:r>
      <w:r>
        <w:rPr>
          <w:rFonts w:hint="eastAsia" w:ascii="Times New Roman" w:hAnsi="Times New Roman" w:cs="Times New Roman"/>
          <w:b/>
          <w:bCs w:val="0"/>
          <w:color w:val="auto"/>
          <w:kern w:val="0"/>
          <w:sz w:val="24"/>
          <w:szCs w:val="24"/>
          <w:highlight w:val="none"/>
          <w:lang w:val="en-US" w:eastAsia="zh-CN"/>
        </w:rPr>
        <w:t>企业实际设备情况与环评对照</w:t>
      </w:r>
      <w:r>
        <w:rPr>
          <w:rFonts w:hint="eastAsia" w:ascii="Times New Roman" w:hAnsi="Times New Roman" w:cs="Times New Roman"/>
          <w:b w:val="0"/>
          <w:bCs/>
          <w:color w:val="auto"/>
          <w:kern w:val="0"/>
          <w:sz w:val="24"/>
          <w:szCs w:val="24"/>
          <w:highlight w:val="none"/>
          <w:lang w:val="en-US" w:eastAsia="zh-CN"/>
        </w:rPr>
        <w:t>，其中减少普通车床6台、数控钻孔机5台、齿轮式钻攻两用机5台、伺服电动攻丝机5台、数控攻丝机8台、加工中心4台、数控液压机1台、普通液压机2台、淬火炉3台、回火炉1台、淬火油池3台、空气锤3台、液压锤3台、碾环机4台、节能环保炉5台、多用炉3台、清洗机7台、电加热高温回火炉7台、变压器3台。此外，实际增加清洗涂油机1台，该设备主要用于清洗和涂油，可代替人工涂油，同时清洗水循环使用不排放；</w:t>
      </w:r>
      <w:r>
        <w:rPr>
          <w:rFonts w:hint="eastAsia" w:ascii="Times New Roman" w:hAnsi="Times New Roman" w:cs="Times New Roman"/>
          <w:b/>
          <w:bCs w:val="0"/>
          <w:color w:val="auto"/>
          <w:kern w:val="0"/>
          <w:sz w:val="24"/>
          <w:szCs w:val="24"/>
          <w:highlight w:val="none"/>
          <w:lang w:val="en-US" w:eastAsia="zh-CN"/>
        </w:rPr>
        <w:t>企业实际生产工艺流程与环评审批对照</w:t>
      </w:r>
      <w:r>
        <w:rPr>
          <w:rFonts w:hint="eastAsia" w:ascii="Times New Roman" w:hAnsi="Times New Roman" w:cs="Times New Roman"/>
          <w:b w:val="0"/>
          <w:bCs/>
          <w:color w:val="auto"/>
          <w:kern w:val="0"/>
          <w:sz w:val="24"/>
          <w:szCs w:val="24"/>
          <w:highlight w:val="none"/>
          <w:lang w:val="en-US" w:eastAsia="zh-CN"/>
        </w:rPr>
        <w:t>，实际工艺流程与环评审批一致；</w:t>
      </w:r>
      <w:r>
        <w:rPr>
          <w:rFonts w:hint="eastAsia" w:ascii="Times New Roman" w:hAnsi="Times New Roman" w:cs="Times New Roman"/>
          <w:b/>
          <w:bCs w:val="0"/>
          <w:color w:val="auto"/>
          <w:kern w:val="0"/>
          <w:sz w:val="24"/>
          <w:szCs w:val="24"/>
          <w:highlight w:val="none"/>
          <w:lang w:val="en-US" w:eastAsia="zh-CN"/>
        </w:rPr>
        <w:t>企业实际原辅材料与环评审批对照</w:t>
      </w:r>
      <w:r>
        <w:rPr>
          <w:rFonts w:hint="eastAsia" w:ascii="Times New Roman" w:hAnsi="Times New Roman" w:cs="Times New Roman"/>
          <w:b w:val="0"/>
          <w:bCs/>
          <w:color w:val="auto"/>
          <w:kern w:val="0"/>
          <w:sz w:val="24"/>
          <w:szCs w:val="24"/>
          <w:highlight w:val="none"/>
          <w:lang w:val="en-US" w:eastAsia="zh-CN"/>
        </w:rPr>
        <w:t>，实际设备润滑需要用到黄油和锂基脂，故实际原辅材料新增黄油和锂基脂；实际电、天然气用量减少，水用量增加，未增加30%及以上，满足相关环保要求。其余原辅材料的消耗在环评审批范围内。</w:t>
      </w:r>
    </w:p>
    <w:p w14:paraId="0FF710AB">
      <w:pPr>
        <w:spacing w:line="360" w:lineRule="auto"/>
        <w:ind w:firstLine="480" w:firstLineChars="200"/>
        <w:jc w:val="both"/>
        <w:outlineLvl w:val="0"/>
        <w:rPr>
          <w:rFonts w:hint="eastAsia" w:ascii="Times New Roman" w:hAnsi="Times New Roman" w:cs="Times New Roman"/>
          <w:b/>
          <w:bCs w:val="0"/>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（3）</w:t>
      </w:r>
      <w:r>
        <w:rPr>
          <w:rFonts w:hint="eastAsia" w:ascii="Times New Roman" w:hAnsi="Times New Roman" w:cs="Times New Roman"/>
          <w:b/>
          <w:bCs w:val="0"/>
          <w:color w:val="auto"/>
          <w:kern w:val="0"/>
          <w:sz w:val="24"/>
          <w:szCs w:val="24"/>
          <w:highlight w:val="none"/>
          <w:lang w:val="en-US" w:eastAsia="zh-CN"/>
        </w:rPr>
        <w:t>a、废气污染防治变化如下：</w:t>
      </w:r>
    </w:p>
    <w:p w14:paraId="66E470FD">
      <w:pPr>
        <w:spacing w:line="360" w:lineRule="auto"/>
        <w:ind w:firstLine="482"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bCs w:val="0"/>
          <w:color w:val="auto"/>
          <w:kern w:val="0"/>
          <w:sz w:val="24"/>
          <w:szCs w:val="24"/>
          <w:highlight w:val="none"/>
          <w:lang w:val="en-US" w:eastAsia="zh-CN"/>
        </w:rPr>
        <w:t>环评审批</w:t>
      </w:r>
      <w:r>
        <w:rPr>
          <w:rFonts w:hint="eastAsia" w:ascii="Times New Roman" w:hAnsi="Times New Roman" w:cs="Times New Roman"/>
          <w:b w:val="0"/>
          <w:bCs/>
          <w:color w:val="auto"/>
          <w:kern w:val="0"/>
          <w:sz w:val="24"/>
          <w:szCs w:val="24"/>
          <w:highlight w:val="none"/>
          <w:lang w:val="en-US" w:eastAsia="zh-CN"/>
        </w:rPr>
        <w:t>①多用炉废气：多用炉废气包括油淬废气、渗碳废气和天然气燃烧废气，渗碳废气、油淬废气合并通过设备自带的火炬燃烧器点燃废气后通过1套静电除油装置处理（TA001），处理后通过1根不低于15m高的排气筒排放（DA002）；天然气燃烧废气通过1根不低于15m高的排气筒排放（DA001）。</w:t>
      </w:r>
    </w:p>
    <w:p w14:paraId="3593E225">
      <w:pPr>
        <w:spacing w:line="360" w:lineRule="auto"/>
        <w:ind w:firstLine="480"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②环保炉煅烧废气：通过1套陶瓷多管旋风除尘器（TA002）处理，处理后通过1根不低于15m高的排气筒（DA003）排放。</w:t>
      </w:r>
    </w:p>
    <w:p w14:paraId="5BA0F8FA">
      <w:pPr>
        <w:spacing w:line="360" w:lineRule="auto"/>
        <w:ind w:firstLine="480"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③淬火炉废气：淬火炉废气包括油淬废气和渗碳废气，油淬废气通过大围式吸风集气罩收集后通过静电除油装置处理（TA003），处理后通过1根不低于15m高的排气筒（DA004）排放；渗碳废气通过设备自带的火炬燃烧器点燃废气后在车间内无组织排放。</w:t>
      </w:r>
    </w:p>
    <w:p w14:paraId="4622B228">
      <w:pPr>
        <w:spacing w:line="360" w:lineRule="auto"/>
        <w:ind w:firstLine="482"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bCs w:val="0"/>
          <w:color w:val="auto"/>
          <w:kern w:val="0"/>
          <w:sz w:val="24"/>
          <w:szCs w:val="24"/>
          <w:highlight w:val="none"/>
          <w:lang w:val="en-US" w:eastAsia="zh-CN"/>
        </w:rPr>
        <w:t>实际</w:t>
      </w:r>
      <w:r>
        <w:rPr>
          <w:rFonts w:hint="eastAsia" w:ascii="Times New Roman" w:hAnsi="Times New Roman" w:cs="Times New Roman"/>
          <w:b w:val="0"/>
          <w:bCs/>
          <w:color w:val="auto"/>
          <w:kern w:val="0"/>
          <w:sz w:val="24"/>
          <w:szCs w:val="24"/>
          <w:highlight w:val="none"/>
          <w:lang w:val="en-US" w:eastAsia="zh-CN"/>
        </w:rPr>
        <w:t>①多用炉废气、天然气燃烧废气：多用炉废气包括油淬废气、渗碳废气和天然气燃烧废气，渗碳废气、油淬废气合并通过设备自带的火炬燃烧器点燃废气后与天然气燃烧废气一并通过1套过滤+静电除油装置处理（TA002），处理后通过1根15m高的排气筒排放（DA002）。</w:t>
      </w:r>
    </w:p>
    <w:p w14:paraId="69507561">
      <w:pPr>
        <w:spacing w:line="360" w:lineRule="auto"/>
        <w:ind w:firstLine="480"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②环保炉煅烧废气：通过1套陶瓷多管旋风除尘器（TA001）处理，处理后通过1根15m高的排气筒（DA001）排放。</w:t>
      </w:r>
    </w:p>
    <w:p w14:paraId="5D510A77">
      <w:pPr>
        <w:spacing w:line="360" w:lineRule="auto"/>
        <w:ind w:firstLine="480"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本项目实际没有单独的淬火炉和淬火油池，其它废气治理满足相关环保要求。</w:t>
      </w:r>
    </w:p>
    <w:p w14:paraId="1BBC54BE">
      <w:pPr>
        <w:spacing w:line="360" w:lineRule="auto"/>
        <w:ind w:firstLine="482" w:firstLineChars="200"/>
        <w:jc w:val="both"/>
        <w:outlineLvl w:val="0"/>
        <w:rPr>
          <w:rFonts w:hint="eastAsia" w:ascii="Times New Roman" w:hAnsi="Times New Roman" w:cs="Times New Roman"/>
          <w:b/>
          <w:bCs w:val="0"/>
          <w:color w:val="auto"/>
          <w:kern w:val="0"/>
          <w:sz w:val="24"/>
          <w:szCs w:val="24"/>
          <w:highlight w:val="none"/>
          <w:lang w:val="en-US" w:eastAsia="zh-CN"/>
        </w:rPr>
      </w:pPr>
      <w:r>
        <w:rPr>
          <w:rFonts w:hint="eastAsia" w:ascii="Times New Roman" w:hAnsi="Times New Roman" w:cs="Times New Roman"/>
          <w:b/>
          <w:bCs w:val="0"/>
          <w:color w:val="auto"/>
          <w:kern w:val="0"/>
          <w:sz w:val="24"/>
          <w:szCs w:val="24"/>
          <w:highlight w:val="none"/>
          <w:lang w:val="en-US" w:eastAsia="zh-CN"/>
        </w:rPr>
        <w:t>b、废水污染防治未发生变化。</w:t>
      </w:r>
    </w:p>
    <w:p w14:paraId="500DE580">
      <w:pPr>
        <w:spacing w:line="360" w:lineRule="auto"/>
        <w:ind w:firstLine="480" w:firstLineChars="200"/>
        <w:jc w:val="both"/>
        <w:outlineLvl w:val="0"/>
        <w:rPr>
          <w:rFonts w:hint="default"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（4）</w:t>
      </w:r>
      <w:r>
        <w:rPr>
          <w:rFonts w:hint="default" w:ascii="Times New Roman" w:hAnsi="Times New Roman" w:cs="Times New Roman"/>
          <w:b w:val="0"/>
          <w:bCs/>
          <w:color w:val="auto"/>
          <w:kern w:val="0"/>
          <w:sz w:val="24"/>
          <w:szCs w:val="24"/>
          <w:highlight w:val="none"/>
          <w:lang w:val="en-US" w:eastAsia="zh-CN"/>
        </w:rPr>
        <w:t>①环评审批中未分析废乳化液、废液压油，实际本项目使用乳化液、液压油时，会相应产生废乳化液、废液压油，均作为危废，集中收集后委托马鞍山澳新环保科技有限公司安全处置；</w:t>
      </w:r>
    </w:p>
    <w:p w14:paraId="7D2FBA53">
      <w:pPr>
        <w:spacing w:line="360" w:lineRule="auto"/>
        <w:ind w:firstLine="480" w:firstLineChars="200"/>
        <w:jc w:val="both"/>
        <w:outlineLvl w:val="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val="0"/>
          <w:bCs/>
          <w:color w:val="auto"/>
          <w:kern w:val="0"/>
          <w:sz w:val="24"/>
          <w:szCs w:val="24"/>
          <w:highlight w:val="none"/>
          <w:lang w:val="en-US" w:eastAsia="zh-CN"/>
        </w:rPr>
        <w:t>②环评审批中原辅料使用后产生的废桶集中收集后由供应商回收，所以包装桶不属于固体废物，实际原辅料使用后产生的废桶，作为危废，集中收集后委托马鞍山澳新环保科技有限公司安全处置。</w:t>
      </w:r>
    </w:p>
    <w:p w14:paraId="4BDAB332">
      <w:pPr>
        <w:spacing w:line="360" w:lineRule="auto"/>
        <w:ind w:firstLine="480" w:firstLineChars="200"/>
        <w:jc w:val="both"/>
        <w:outlineLvl w:val="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val="0"/>
          <w:bCs/>
          <w:color w:val="auto"/>
          <w:kern w:val="0"/>
          <w:sz w:val="24"/>
          <w:szCs w:val="24"/>
          <w:highlight w:val="none"/>
          <w:lang w:val="en-US" w:eastAsia="zh-CN"/>
        </w:rPr>
        <w:t>③本项目实际设备润滑需要用到黄油和锂基脂，会相应产生废黄油和废锂基脂，通过对照《国家危险废物名录》（2025年版），该固废属于危险固废，集中收集后委托马鞍山澳新环保科技有限公司安全处置。</w:t>
      </w:r>
    </w:p>
    <w:p w14:paraId="61D10269">
      <w:pPr>
        <w:spacing w:line="360" w:lineRule="auto"/>
        <w:ind w:firstLine="480" w:firstLineChars="200"/>
        <w:jc w:val="both"/>
        <w:outlineLvl w:val="0"/>
        <w:rPr>
          <w:rFonts w:hint="eastAsia" w:ascii="Times New Roman" w:hAnsi="Times New Roman"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项目性质、规模与环境影响报告表及批复文件保持一致，基本无变动。</w:t>
      </w:r>
    </w:p>
    <w:p w14:paraId="3BEDA2C4">
      <w:pPr>
        <w:spacing w:line="360" w:lineRule="auto"/>
        <w:ind w:firstLine="480" w:firstLineChars="200"/>
        <w:outlineLvl w:val="0"/>
        <w:rPr>
          <w:rFonts w:hint="default" w:ascii="Times New Roman" w:hAnsi="Times New Roman" w:eastAsia="宋体" w:cs="Times New Roman"/>
          <w:color w:val="auto"/>
          <w:sz w:val="24"/>
          <w:highlight w:val="none"/>
          <w:lang w:eastAsia="zh-CN"/>
        </w:rPr>
      </w:pPr>
      <w:r>
        <w:rPr>
          <w:rFonts w:ascii="Times New Roman" w:hAnsi="Times New Roman" w:eastAsia="宋体"/>
          <w:color w:val="auto"/>
          <w:kern w:val="0"/>
          <w:sz w:val="24"/>
          <w:szCs w:val="24"/>
          <w:highlight w:val="none"/>
        </w:rPr>
        <w:t>对照生态环境部 环办环评函〔2020〕688号关于印发《污染影响类建设项目重大变动清单</w:t>
      </w:r>
      <w:r>
        <w:rPr>
          <w:rFonts w:hint="eastAsia" w:ascii="Times New Roman" w:hAnsi="Times New Roman"/>
          <w:color w:val="auto"/>
          <w:kern w:val="0"/>
          <w:sz w:val="24"/>
          <w:szCs w:val="24"/>
          <w:highlight w:val="none"/>
          <w:lang w:eastAsia="zh-CN"/>
        </w:rPr>
        <w:t>（</w:t>
      </w:r>
      <w:r>
        <w:rPr>
          <w:rFonts w:ascii="Times New Roman" w:hAnsi="Times New Roman" w:eastAsia="宋体"/>
          <w:color w:val="auto"/>
          <w:kern w:val="0"/>
          <w:sz w:val="24"/>
          <w:szCs w:val="24"/>
          <w:highlight w:val="none"/>
        </w:rPr>
        <w:t>试行</w:t>
      </w:r>
      <w:r>
        <w:rPr>
          <w:rFonts w:hint="eastAsia" w:ascii="Times New Roman" w:hAnsi="Times New Roman"/>
          <w:color w:val="auto"/>
          <w:kern w:val="0"/>
          <w:sz w:val="24"/>
          <w:szCs w:val="24"/>
          <w:highlight w:val="none"/>
          <w:lang w:eastAsia="zh-CN"/>
        </w:rPr>
        <w:t>）</w:t>
      </w:r>
      <w:r>
        <w:rPr>
          <w:rFonts w:ascii="Times New Roman" w:hAnsi="Times New Roman" w:eastAsia="宋体"/>
          <w:color w:val="auto"/>
          <w:kern w:val="0"/>
          <w:sz w:val="24"/>
          <w:szCs w:val="24"/>
          <w:highlight w:val="none"/>
        </w:rPr>
        <w:t>》的通知相关内容，</w:t>
      </w:r>
      <w:r>
        <w:rPr>
          <w:rFonts w:hint="eastAsia" w:ascii="Times New Roman" w:hAnsi="Times New Roman" w:eastAsia="宋体"/>
          <w:color w:val="auto"/>
          <w:kern w:val="0"/>
          <w:sz w:val="24"/>
          <w:szCs w:val="24"/>
          <w:highlight w:val="none"/>
          <w:lang w:val="en-US" w:eastAsia="zh-CN"/>
        </w:rPr>
        <w:t>企业</w:t>
      </w:r>
      <w:r>
        <w:rPr>
          <w:rFonts w:ascii="Times New Roman" w:hAnsi="Times New Roman" w:eastAsia="宋体"/>
          <w:color w:val="auto"/>
          <w:kern w:val="0"/>
          <w:sz w:val="24"/>
          <w:szCs w:val="24"/>
          <w:highlight w:val="none"/>
        </w:rPr>
        <w:t>不属于重大变动。</w:t>
      </w:r>
      <w:bookmarkEnd w:id="0"/>
      <w:bookmarkEnd w:id="1"/>
      <w:bookmarkEnd w:id="2"/>
    </w:p>
    <w:p w14:paraId="632803F9">
      <w:pPr>
        <w:spacing w:line="360" w:lineRule="auto"/>
        <w:ind w:firstLine="602" w:firstLineChars="250"/>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三、环境保护设施建设情况</w:t>
      </w:r>
    </w:p>
    <w:p w14:paraId="1F21EEC2">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highlight w:val="none"/>
        </w:rPr>
        <w:t>（一）</w:t>
      </w:r>
      <w:r>
        <w:rPr>
          <w:rStyle w:val="17"/>
          <w:rFonts w:hint="default" w:ascii="Times New Roman" w:hAnsi="Times New Roman" w:eastAsia="宋体" w:cs="Times New Roman"/>
          <w:b w:val="0"/>
          <w:color w:val="auto"/>
          <w:sz w:val="24"/>
          <w:szCs w:val="24"/>
          <w:highlight w:val="none"/>
          <w:vertAlign w:val="baseline"/>
          <w:lang w:val="en-US" w:eastAsia="zh-CN"/>
        </w:rPr>
        <w:t>废水：</w:t>
      </w:r>
      <w:r>
        <w:rPr>
          <w:rFonts w:hint="default" w:ascii="Times New Roman" w:hAnsi="Times New Roman" w:eastAsia="宋体" w:cs="Times New Roman"/>
          <w:color w:val="auto"/>
          <w:sz w:val="24"/>
          <w:szCs w:val="24"/>
          <w:lang w:val="en-US" w:eastAsia="zh-CN"/>
        </w:rPr>
        <w:t>本项目营运过程产生的废水主要是生活污水。</w:t>
      </w:r>
    </w:p>
    <w:p w14:paraId="24B60AB6">
      <w:pPr>
        <w:spacing w:line="360" w:lineRule="auto"/>
        <w:ind w:firstLine="480" w:firstLineChars="200"/>
        <w:jc w:val="both"/>
        <w:outlineLvl w:val="0"/>
        <w:rPr>
          <w:rFonts w:hint="eastAsia" w:ascii="Times New Roman" w:hAnsi="Times New Roman"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bidi="ar-SA"/>
        </w:rPr>
        <w:t>生活污水经化粪池、隔油池预处理达接管标准后，纳管至</w:t>
      </w:r>
      <w:bookmarkStart w:id="3" w:name="OLE_LINK5"/>
      <w:r>
        <w:rPr>
          <w:rFonts w:hint="eastAsia" w:ascii="Times New Roman" w:hAnsi="Times New Roman" w:cs="Times New Roman"/>
          <w:color w:val="auto"/>
          <w:kern w:val="2"/>
          <w:sz w:val="24"/>
          <w:szCs w:val="24"/>
          <w:lang w:val="en-US" w:eastAsia="zh-CN" w:bidi="ar-SA"/>
        </w:rPr>
        <w:t>邱村镇污水处理厂</w:t>
      </w:r>
      <w:bookmarkEnd w:id="3"/>
      <w:r>
        <w:rPr>
          <w:rFonts w:hint="eastAsia" w:ascii="Times New Roman" w:hAnsi="Times New Roman" w:cs="Times New Roman"/>
          <w:color w:val="auto"/>
          <w:kern w:val="2"/>
          <w:sz w:val="24"/>
          <w:szCs w:val="24"/>
          <w:lang w:val="en-US" w:eastAsia="zh-CN" w:bidi="ar-SA"/>
        </w:rPr>
        <w:t>处理达标排放，尾水排入山北河。</w:t>
      </w:r>
    </w:p>
    <w:p w14:paraId="7A1FA220">
      <w:pPr>
        <w:spacing w:line="360" w:lineRule="auto"/>
        <w:ind w:firstLine="480" w:firstLineChars="200"/>
        <w:jc w:val="both"/>
        <w:outlineLvl w:val="0"/>
        <w:rPr>
          <w:rFonts w:hint="eastAsia" w:ascii="Times New Roman" w:hAnsi="Times New Roman"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（二）废气：本项目营运过程产生的废气主要为环保炉煅烧废气、多用炉废气、天然气燃烧废气。</w:t>
      </w:r>
    </w:p>
    <w:p w14:paraId="4D11789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①环保炉煅烧废气：通过</w:t>
      </w:r>
      <w:bookmarkStart w:id="6" w:name="_GoBack"/>
      <w:bookmarkEnd w:id="6"/>
      <w:r>
        <w:rPr>
          <w:rFonts w:hint="eastAsia" w:ascii="Times New Roman" w:hAnsi="Times New Roman" w:cs="Times New Roman"/>
          <w:color w:val="auto"/>
          <w:kern w:val="0"/>
          <w:sz w:val="24"/>
          <w:highlight w:val="none"/>
          <w:lang w:val="en-US" w:eastAsia="zh-CN"/>
        </w:rPr>
        <w:t>1套陶瓷多管旋风除尘器（TA001）处理，处理后通过1根15m高的排气筒（DA001）排放。</w:t>
      </w:r>
    </w:p>
    <w:p w14:paraId="584227F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②多用炉废气、天然气燃烧废气：多用炉废气包括油淬废气、渗碳废气和天然气燃烧废气，渗碳废气、油淬废气合并通过设备自带的火炬燃烧器点燃废气后与天然气燃烧废气一并通过1套过滤+静电除油装置处理（TA002），处理后通过1根15m高的排气筒排放（DA002）。</w:t>
      </w:r>
    </w:p>
    <w:p w14:paraId="1B1BB3A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Style w:val="17"/>
          <w:rFonts w:hint="default" w:ascii="Times New Roman" w:hAnsi="Times New Roman" w:eastAsia="宋体" w:cs="Times New Roman"/>
          <w:b w:val="0"/>
          <w:color w:val="auto"/>
          <w:sz w:val="24"/>
          <w:szCs w:val="24"/>
          <w:highlight w:val="none"/>
          <w:vertAlign w:val="baseline"/>
          <w:lang w:val="en-US" w:eastAsia="zh-CN"/>
        </w:rPr>
      </w:pPr>
      <w:r>
        <w:rPr>
          <w:rFonts w:hint="eastAsia" w:ascii="Times New Roman" w:hAnsi="Times New Roman" w:eastAsia="宋体" w:cs="Times New Roman"/>
          <w:b w:val="0"/>
          <w:color w:val="auto"/>
          <w:kern w:val="2"/>
          <w:sz w:val="24"/>
          <w:szCs w:val="24"/>
          <w:vertAlign w:val="baseline"/>
          <w:lang w:val="en-US" w:eastAsia="zh-CN" w:bidi="ar-SA"/>
        </w:rPr>
        <w:t>（</w:t>
      </w:r>
      <w:r>
        <w:rPr>
          <w:rFonts w:hint="eastAsia" w:ascii="Times New Roman" w:hAnsi="Times New Roman" w:cs="Times New Roman"/>
          <w:b w:val="0"/>
          <w:color w:val="auto"/>
          <w:kern w:val="2"/>
          <w:sz w:val="24"/>
          <w:szCs w:val="24"/>
          <w:vertAlign w:val="baseline"/>
          <w:lang w:val="en-US" w:eastAsia="zh-CN" w:bidi="ar-SA"/>
        </w:rPr>
        <w:t>三</w:t>
      </w:r>
      <w:r>
        <w:rPr>
          <w:rFonts w:hint="eastAsia" w:ascii="Times New Roman" w:hAnsi="Times New Roman" w:eastAsia="宋体" w:cs="Times New Roman"/>
          <w:b w:val="0"/>
          <w:color w:val="auto"/>
          <w:kern w:val="2"/>
          <w:sz w:val="24"/>
          <w:szCs w:val="24"/>
          <w:vertAlign w:val="baseline"/>
          <w:lang w:val="en-US" w:eastAsia="zh-CN" w:bidi="ar-SA"/>
        </w:rPr>
        <w:t>）</w:t>
      </w:r>
      <w:r>
        <w:rPr>
          <w:rFonts w:hint="default" w:ascii="Times New Roman" w:hAnsi="Times New Roman" w:eastAsia="宋体" w:cs="Times New Roman"/>
          <w:color w:val="auto"/>
          <w:kern w:val="0"/>
          <w:sz w:val="24"/>
          <w:highlight w:val="none"/>
        </w:rPr>
        <w:t>噪声：</w:t>
      </w:r>
      <w:r>
        <w:rPr>
          <w:rFonts w:hint="eastAsia" w:ascii="Times New Roman" w:hAnsi="Times New Roman" w:cs="Times New Roman"/>
          <w:color w:val="auto"/>
          <w:kern w:val="0"/>
          <w:sz w:val="24"/>
          <w:highlight w:val="none"/>
          <w:lang w:val="en-US" w:eastAsia="zh-CN"/>
        </w:rPr>
        <w:t>本</w:t>
      </w:r>
      <w:r>
        <w:rPr>
          <w:rFonts w:hint="eastAsia"/>
          <w:color w:val="auto"/>
          <w:sz w:val="24"/>
          <w:highlight w:val="none"/>
        </w:rPr>
        <w:t>项目</w:t>
      </w:r>
      <w:r>
        <w:rPr>
          <w:rFonts w:hint="eastAsia"/>
          <w:color w:val="auto"/>
          <w:sz w:val="24"/>
          <w:highlight w:val="none"/>
          <w:lang w:val="en-US" w:eastAsia="zh-CN"/>
        </w:rPr>
        <w:t>噪声源主要为生产设备及辅助设施运行噪声</w:t>
      </w:r>
      <w:r>
        <w:rPr>
          <w:rFonts w:hint="eastAsia"/>
          <w:color w:val="auto"/>
          <w:sz w:val="24"/>
          <w:highlight w:val="none"/>
          <w:lang w:eastAsia="zh-CN"/>
        </w:rPr>
        <w:t>。</w:t>
      </w:r>
    </w:p>
    <w:p w14:paraId="7F79FF5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olor w:val="auto"/>
          <w:sz w:val="24"/>
          <w:szCs w:val="32"/>
          <w:highlight w:val="none"/>
          <w:lang w:val="en-US" w:eastAsia="zh-CN"/>
        </w:rPr>
        <w:t>本项目实行昼间一班制，厂区噪声源主要为生产设备及辅助设施运行噪声</w:t>
      </w:r>
      <w:r>
        <w:rPr>
          <w:rFonts w:hint="eastAsia" w:ascii="Times New Roman" w:hAnsi="Times New Roman"/>
          <w:color w:val="auto"/>
          <w:sz w:val="24"/>
          <w:szCs w:val="32"/>
          <w:highlight w:val="none"/>
          <w:lang w:val="en-US" w:eastAsia="zh-CN"/>
        </w:rPr>
        <w:t>。</w:t>
      </w:r>
      <w:r>
        <w:rPr>
          <w:rFonts w:hint="default" w:ascii="Times New Roman" w:hAnsi="Times New Roman" w:eastAsia="宋体"/>
          <w:color w:val="auto"/>
          <w:sz w:val="24"/>
          <w:szCs w:val="32"/>
          <w:highlight w:val="none"/>
          <w:lang w:val="en-US" w:eastAsia="zh-CN"/>
        </w:rPr>
        <w:t>通过选用低噪声设备；生产车间安装隔声门窗，生产时关闭门窗；平时加强生产管理和设备维护保养；加强工人的生产操作管理，减少或降低人为噪声的产生；对高噪声设备加设减振垫。</w:t>
      </w:r>
    </w:p>
    <w:p w14:paraId="72F32F8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szCs w:val="24"/>
          <w:lang w:val="en-US" w:eastAsia="zh-CN" w:bidi="ar-SA"/>
        </w:rPr>
        <w:t>（</w:t>
      </w:r>
      <w:r>
        <w:rPr>
          <w:rFonts w:hint="eastAsia" w:ascii="Times New Roman" w:hAnsi="Times New Roman" w:cs="Times New Roman"/>
          <w:color w:val="auto"/>
          <w:kern w:val="0"/>
          <w:sz w:val="24"/>
          <w:szCs w:val="24"/>
          <w:lang w:val="en-US" w:eastAsia="zh-CN" w:bidi="ar-SA"/>
        </w:rPr>
        <w:t>四</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highlight w:val="none"/>
          <w:lang w:val="en-US" w:eastAsia="zh-CN"/>
        </w:rPr>
        <w:t>固废：本项目营运过程产生的固体废物包括生活垃圾、一般工业固废和危险废物。</w:t>
      </w:r>
    </w:p>
    <w:p w14:paraId="1AF4B8DF">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360" w:lineRule="auto"/>
        <w:ind w:left="0" w:leftChars="0" w:right="0" w:firstLine="480" w:firstLineChars="200"/>
        <w:jc w:val="both"/>
        <w:textAlignment w:val="auto"/>
        <w:rPr>
          <w:rFonts w:hint="eastAsia"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本项目一般固废堆放区位于车间内东北侧，存放金属边角料，占地面积约32m</w:t>
      </w:r>
      <w:r>
        <w:rPr>
          <w:rFonts w:hint="default" w:ascii="Times New Roman" w:hAnsi="Times New Roman" w:eastAsia="宋体" w:cs="Times New Roman"/>
          <w:color w:val="auto"/>
          <w:kern w:val="0"/>
          <w:sz w:val="24"/>
          <w:highlight w:val="none"/>
          <w:vertAlign w:val="superscript"/>
          <w:lang w:val="en-US" w:eastAsia="zh-CN"/>
        </w:rPr>
        <w:t>2</w:t>
      </w:r>
      <w:r>
        <w:rPr>
          <w:rFonts w:hint="default" w:ascii="Times New Roman" w:hAnsi="Times New Roman" w:eastAsia="宋体" w:cs="Times New Roman"/>
          <w:color w:val="auto"/>
          <w:kern w:val="0"/>
          <w:sz w:val="24"/>
          <w:highlight w:val="none"/>
          <w:lang w:val="en-US" w:eastAsia="zh-CN"/>
        </w:rPr>
        <w:t>，暂存点为水泥地面，能做到防扬散、防流失、防止雨水的冲刷及防渗漏等相关要求，各类一般废物定置分类存放；危废仓库位于车间外西南侧单独的密闭房间内，存放含油金属屑、废油、废机油、废切削液、废槽液、废乳化液、废液压油、废锂基脂、废黄油、废桶等，占地面积约32m</w:t>
      </w:r>
      <w:r>
        <w:rPr>
          <w:rFonts w:hint="default" w:ascii="Times New Roman" w:hAnsi="Times New Roman" w:eastAsia="宋体" w:cs="Times New Roman"/>
          <w:color w:val="auto"/>
          <w:kern w:val="0"/>
          <w:sz w:val="24"/>
          <w:highlight w:val="none"/>
          <w:vertAlign w:val="superscript"/>
          <w:lang w:val="en-US" w:eastAsia="zh-CN"/>
        </w:rPr>
        <w:t>2</w:t>
      </w:r>
      <w:r>
        <w:rPr>
          <w:rFonts w:hint="eastAsia" w:ascii="Times New Roman" w:hAnsi="Times New Roman"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定期委托马鞍山澳新环保科技有限公司安全处置。危废库具备防腐防渗、防雨淋等措施，可以有效防止二次污染，规范建立了危废台账</w:t>
      </w:r>
      <w:r>
        <w:rPr>
          <w:rFonts w:hint="eastAsia" w:ascii="Times New Roman" w:hAnsi="Times New Roman" w:cs="Times New Roman"/>
          <w:color w:val="auto"/>
          <w:kern w:val="0"/>
          <w:sz w:val="24"/>
          <w:highlight w:val="none"/>
          <w:lang w:val="en-US" w:eastAsia="zh-CN"/>
        </w:rPr>
        <w:t>。</w:t>
      </w:r>
    </w:p>
    <w:p w14:paraId="1673D27A">
      <w:pPr>
        <w:widowControl/>
        <w:numPr>
          <w:ilvl w:val="0"/>
          <w:numId w:val="3"/>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其他环保设施</w:t>
      </w:r>
    </w:p>
    <w:p w14:paraId="6AA639E8">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本项目所在厂区已实行雨污分流。安徽金鼎盛机械有限公司建立并完善了相关环保管理制度。企业已完成固定污染源排污登记，登记编号为：91341822MA8NPUUU77001X。目前企业已经配备了各种消防设施，并对员工进行了相关培训</w:t>
      </w:r>
      <w:r>
        <w:rPr>
          <w:rFonts w:hint="eastAsia" w:ascii="Times New Roman" w:hAnsi="Times New Roman" w:cs="Times New Roman"/>
          <w:color w:val="auto"/>
          <w:kern w:val="0"/>
          <w:sz w:val="24"/>
          <w:highlight w:val="none"/>
          <w:lang w:val="en-US" w:eastAsia="zh-CN"/>
        </w:rPr>
        <w:t>。</w:t>
      </w:r>
    </w:p>
    <w:p w14:paraId="620C1586">
      <w:pPr>
        <w:widowControl/>
        <w:numPr>
          <w:ilvl w:val="0"/>
          <w:numId w:val="3"/>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土壤及地下水污染防治措施</w:t>
      </w:r>
    </w:p>
    <w:p w14:paraId="268D5834">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本项目地下水和土壤污染防治措施已按照“源头控制、分区防护、污染监控、应急响应”相结合的原则，全方位进行控制。厂区内采取分区防渗措施，项目重点污染防治区主要为生产车间、危废仓库等</w:t>
      </w:r>
      <w:r>
        <w:rPr>
          <w:rFonts w:hint="eastAsia" w:ascii="Times New Roman" w:hAnsi="Times New Roman" w:cs="Times New Roman"/>
          <w:color w:val="auto"/>
          <w:kern w:val="0"/>
          <w:sz w:val="24"/>
          <w:highlight w:val="none"/>
          <w:lang w:val="en-US" w:eastAsia="zh-CN"/>
        </w:rPr>
        <w:t>。</w:t>
      </w:r>
    </w:p>
    <w:p w14:paraId="392068F4">
      <w:pPr>
        <w:widowControl/>
        <w:numPr>
          <w:ilvl w:val="0"/>
          <w:numId w:val="3"/>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环境风险防范措施：</w:t>
      </w:r>
    </w:p>
    <w:p w14:paraId="5F77BD16">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1、泄漏事故风险防范措施</w:t>
      </w:r>
    </w:p>
    <w:p w14:paraId="4C219D0C">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（1）为了保证各物料仓储和使用安全，本项目各物料的存储条件和设施已严格按照有关文件中的要求执行，并有严格的管理。</w:t>
      </w:r>
    </w:p>
    <w:p w14:paraId="6009FF56">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（2）总平面布置严格遵守国家颁布的有关防火和安全等方面规范和规定，在危险源布置方面，充分考虑厂内职工和厂外敏感目标的安全，一旦出现突发性事件时，对人员造成的伤害最小。</w:t>
      </w:r>
    </w:p>
    <w:p w14:paraId="31CA1AC9">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（3）在生产装置、仓储区等附近场所以及需要提醒人员注意的地点均按标准设置各种安全标志，凡需要迅速发现并引起注意以防止发生事故的场所、部位，均按要求涂安全色。</w:t>
      </w:r>
    </w:p>
    <w:p w14:paraId="1E2266EA">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（4）车间、仓储区布置通风良好，保证易燃、易爆和有毒物质迅速稀释和扩散。</w:t>
      </w:r>
    </w:p>
    <w:p w14:paraId="13114F0F">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2、火灾爆炸事故风险防范措施</w:t>
      </w:r>
    </w:p>
    <w:p w14:paraId="67D9544D">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（1）控制与消除火源</w:t>
      </w:r>
    </w:p>
    <w:p w14:paraId="5BE549D5">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工作时严禁吸烟、携带火种、穿带钉皮鞋等进入易燃易爆区；动火必须按动火手 续办理动火证，采取有效的防范措施；使用防爆型电器；严禁钢制工具敲打、撞击、 抛掷；安装避雷装置；转动设备部位要保持清洁，防止因摩擦引起杂物等燃烧；危险 化学品物料运输要请专门的、有资质的运输单位，运用专用的设备进行运输。</w:t>
      </w:r>
    </w:p>
    <w:p w14:paraId="0B40B5A9">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（2）加强管理、严格纪律，遵守各项规章制度和操作规程，严格执行岗位责任 制；坚持巡回检查，发现问题及时处理；加强培训、教育和考核工作。</w:t>
      </w:r>
    </w:p>
    <w:p w14:paraId="5E6123AE">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3、物料贮存风险防范措施</w:t>
      </w:r>
    </w:p>
    <w:p w14:paraId="1E334D33">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（1）原料存放点为阴凉通风，远离热源、火种，防止日光曝晒，严禁受热。库内照明采用防爆照明灯，存放点周围不得堆放任何可燃材料。</w:t>
      </w:r>
    </w:p>
    <w:p w14:paraId="346FBBF6">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（2）原料库有专人管理，有消防器材，有醒目的防火标志。本项目已在仓库门口张贴防火标示，并配有进出台账管理。</w:t>
      </w:r>
    </w:p>
    <w:p w14:paraId="4ADFBFD7">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3）危废仓库从严建设，进一步根据《危险废物污染防治技术政策》和《危险废物贮存污染控制标准》进行完善。同时建立健全固体废弃物管理制度和管理程式，固体废弃物应按照性质分类收集并有专人管理，进行监督登记并设置相应的应急救援器材和物资、每年进行预案演练，完善风险防控系统。</w:t>
      </w:r>
    </w:p>
    <w:p w14:paraId="757687C1">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（4）对员工进行日常风险教育和培训，提高安全防范知识的宣传力度。企业定期对员工进行安全培训教育，从控制过程减少了风险事故的产生。</w:t>
      </w:r>
    </w:p>
    <w:p w14:paraId="1A8495F4">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4、环保设施风险防范措施</w:t>
      </w:r>
    </w:p>
    <w:p w14:paraId="129C7E52">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为确保不发生事故性废气排放，企业采取一定的事故性防范保护措施：</w:t>
      </w:r>
    </w:p>
    <w:p w14:paraId="27EA6AF4">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1）企业委托有相应资质（建设部门核发的综合、行业专项等设计资质）的设计单位对建设项目（含环保设施）进行设计，落实安全生产相关技术要求，自行开展或组织环保和安全生产有关专家参与设计审查，出具审查报告，并案审查意见进行修改完善。</w:t>
      </w:r>
    </w:p>
    <w:p w14:paraId="71331408">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2）建设单位严格按照设计方案和相关施工技术标准、规范施工。建设项目竣工后，建设单位应当按照法律、法规规定的标准和程序，对环保设施进行验收，确保环保设施符合生态环境和安全生产要求，并形成书面报告。</w:t>
      </w:r>
    </w:p>
    <w:p w14:paraId="60EFD3B6">
      <w:pPr>
        <w:widowControl/>
        <w:numPr>
          <w:ilvl w:val="0"/>
          <w:numId w:val="0"/>
        </w:numPr>
        <w:spacing w:line="360" w:lineRule="auto"/>
        <w:ind w:firstLine="480" w:firstLineChars="200"/>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3）企业要把环保设施安全落实到生产经营工作全过程各方面，建立环保设施台账和维护管理制度，对环保设施操作、危险作业等相关岗位人员开展安全操作规程、风险管控、应急处置等专项安全培训教育。要依法依规开展环保设施安全风险辨识管控和隐患排查治理，定期进行安全可靠性鉴定，设置必要的安全监测监控系统和连锁保护，严格日常安全检查。要严格执行吊装、动火、登高、有限空间、检维修等危险作业审批制度，落实安全隔离措施，实施现场安全监护，配齐应急处置装备，确保环保设施安全、温度、有效运行。</w:t>
      </w:r>
    </w:p>
    <w:p w14:paraId="5734DF5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四、环境保护设施调试监测结果</w:t>
      </w:r>
    </w:p>
    <w:p w14:paraId="4E4EBD04">
      <w:pPr>
        <w:spacing w:line="360" w:lineRule="auto"/>
        <w:ind w:firstLine="480" w:firstLineChars="200"/>
        <w:outlineLvl w:val="0"/>
        <w:rPr>
          <w:rFonts w:hint="default" w:ascii="Times New Roman" w:hAnsi="Times New Roman" w:eastAsia="宋体" w:cs="Times New Roman"/>
          <w:color w:val="auto"/>
          <w:sz w:val="24"/>
          <w:highlight w:val="none"/>
          <w:lang w:eastAsia="zh-CN"/>
        </w:rPr>
      </w:pPr>
      <w:r>
        <w:rPr>
          <w:rFonts w:hint="eastAsia" w:ascii="Times New Roman" w:hAnsi="Times New Roman" w:cs="Times New Roman"/>
          <w:color w:val="auto"/>
          <w:kern w:val="0"/>
          <w:sz w:val="24"/>
          <w:highlight w:val="none"/>
          <w:lang w:val="en-US" w:eastAsia="zh-CN"/>
        </w:rPr>
        <w:t>安徽鑫程检测科技有限公司</w:t>
      </w:r>
      <w:r>
        <w:rPr>
          <w:rFonts w:hint="default" w:ascii="Times New Roman" w:hAnsi="Times New Roman" w:eastAsia="宋体" w:cs="Times New Roman"/>
          <w:color w:val="auto"/>
          <w:kern w:val="0"/>
          <w:sz w:val="24"/>
          <w:highlight w:val="none"/>
        </w:rPr>
        <w:t>对</w:t>
      </w:r>
      <w:r>
        <w:rPr>
          <w:rFonts w:hint="eastAsia" w:ascii="Times New Roman" w:hAnsi="Times New Roman" w:cs="Times New Roman"/>
          <w:color w:val="auto"/>
          <w:kern w:val="0"/>
          <w:sz w:val="24"/>
          <w:highlight w:val="none"/>
          <w:lang w:val="en-US" w:eastAsia="zh-CN"/>
        </w:rPr>
        <w:t>本</w:t>
      </w:r>
      <w:r>
        <w:rPr>
          <w:rFonts w:hint="default" w:ascii="Times New Roman" w:hAnsi="Times New Roman" w:eastAsia="宋体" w:cs="Times New Roman"/>
          <w:color w:val="auto"/>
          <w:kern w:val="0"/>
          <w:sz w:val="24"/>
          <w:highlight w:val="none"/>
        </w:rPr>
        <w:t>项目进行了环境保护验收监测（报告编号：</w:t>
      </w:r>
      <w:r>
        <w:rPr>
          <w:rFonts w:hint="default" w:ascii="Times New Roman" w:hAnsi="Times New Roman" w:eastAsia="宋体" w:cs="Times New Roman"/>
          <w:snapToGrid/>
          <w:color w:val="auto"/>
          <w:spacing w:val="-3"/>
          <w:kern w:val="2"/>
          <w:sz w:val="24"/>
          <w:szCs w:val="24"/>
          <w:highlight w:val="none"/>
          <w:lang w:val="en-US" w:eastAsia="zh-CN" w:bidi="ar-SA"/>
        </w:rPr>
        <w:t>2025021301007Y</w:t>
      </w:r>
      <w:r>
        <w:rPr>
          <w:rFonts w:hint="eastAsia" w:ascii="Times New Roman" w:hAnsi="Times New Roman" w:cs="Times New Roman"/>
          <w:snapToGrid/>
          <w:color w:val="auto"/>
          <w:spacing w:val="-3"/>
          <w:kern w:val="2"/>
          <w:sz w:val="24"/>
          <w:szCs w:val="24"/>
          <w:highlight w:val="none"/>
          <w:lang w:val="en-US" w:eastAsia="zh-CN" w:bidi="ar-SA"/>
        </w:rPr>
        <w:t>）</w:t>
      </w:r>
      <w:r>
        <w:rPr>
          <w:rFonts w:hint="default" w:ascii="Times New Roman" w:hAnsi="Times New Roman" w:eastAsia="宋体" w:cs="Times New Roman"/>
          <w:color w:val="auto"/>
          <w:kern w:val="0"/>
          <w:sz w:val="24"/>
          <w:highlight w:val="none"/>
        </w:rPr>
        <w:t>。监测期间，验收</w:t>
      </w:r>
      <w:r>
        <w:rPr>
          <w:rFonts w:hint="eastAsia" w:ascii="Times New Roman" w:hAnsi="Times New Roman" w:cs="Times New Roman"/>
          <w:color w:val="auto"/>
          <w:kern w:val="0"/>
          <w:sz w:val="24"/>
          <w:highlight w:val="none"/>
          <w:lang w:val="en-US" w:eastAsia="zh-CN"/>
        </w:rPr>
        <w:t>本</w:t>
      </w:r>
      <w:r>
        <w:rPr>
          <w:rFonts w:hint="default" w:ascii="Times New Roman" w:hAnsi="Times New Roman" w:eastAsia="宋体" w:cs="Times New Roman"/>
          <w:color w:val="auto"/>
          <w:kern w:val="0"/>
          <w:sz w:val="24"/>
          <w:highlight w:val="none"/>
        </w:rPr>
        <w:t>项目</w:t>
      </w:r>
      <w:r>
        <w:rPr>
          <w:rFonts w:hint="eastAsia" w:ascii="Times New Roman" w:hAnsi="Times New Roman" w:cs="Times New Roman"/>
          <w:color w:val="auto"/>
          <w:kern w:val="0"/>
          <w:sz w:val="24"/>
          <w:highlight w:val="none"/>
          <w:lang w:val="en-US" w:eastAsia="zh-CN"/>
        </w:rPr>
        <w:t>时</w:t>
      </w:r>
      <w:r>
        <w:rPr>
          <w:rFonts w:hint="default" w:ascii="Times New Roman" w:hAnsi="Times New Roman" w:eastAsia="宋体" w:cs="Times New Roman"/>
          <w:color w:val="auto"/>
          <w:kern w:val="0"/>
          <w:sz w:val="24"/>
          <w:highlight w:val="none"/>
        </w:rPr>
        <w:t>生产工况正常，符合竣工验收工况负荷要求。</w:t>
      </w:r>
    </w:p>
    <w:p w14:paraId="09094357">
      <w:pPr>
        <w:pStyle w:val="10"/>
        <w:spacing w:line="360" w:lineRule="auto"/>
        <w:ind w:firstLine="360" w:firstLineChars="150"/>
        <w:rPr>
          <w:rFonts w:ascii="Times New Roman" w:hAnsi="Times New Roman" w:eastAsia="宋体" w:cs="Times New Roman"/>
          <w:color w:val="auto"/>
          <w:sz w:val="24"/>
          <w:szCs w:val="32"/>
          <w:highlight w:val="none"/>
        </w:rPr>
      </w:pPr>
      <w:r>
        <w:rPr>
          <w:rFonts w:ascii="Times New Roman" w:hAnsi="Times New Roman" w:eastAsia="宋体" w:cs="Times New Roman"/>
          <w:color w:val="auto"/>
          <w:sz w:val="24"/>
          <w:szCs w:val="32"/>
          <w:highlight w:val="none"/>
        </w:rPr>
        <w:t>（一）环保设施处理效率</w:t>
      </w:r>
    </w:p>
    <w:p w14:paraId="39D9ABF6">
      <w:pPr>
        <w:pStyle w:val="10"/>
        <w:spacing w:line="360" w:lineRule="auto"/>
        <w:ind w:firstLine="480" w:firstLineChars="200"/>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（1）</w:t>
      </w:r>
      <w:bookmarkStart w:id="4" w:name="OLE_LINK1"/>
      <w:r>
        <w:rPr>
          <w:rFonts w:ascii="Times New Roman" w:hAnsi="Times New Roman" w:eastAsia="宋体" w:cs="Times New Roman"/>
          <w:color w:val="auto"/>
          <w:sz w:val="24"/>
          <w:highlight w:val="none"/>
        </w:rPr>
        <w:t>废水处理设施</w:t>
      </w:r>
      <w:bookmarkEnd w:id="4"/>
    </w:p>
    <w:p w14:paraId="408DD7D0">
      <w:pPr>
        <w:pStyle w:val="10"/>
        <w:spacing w:line="360" w:lineRule="auto"/>
        <w:ind w:firstLine="480" w:firstLineChars="200"/>
        <w:rPr>
          <w:rFonts w:ascii="Times New Roman" w:hAnsi="Times New Roman" w:eastAsia="宋体" w:cs="Times New Roman"/>
          <w:color w:val="auto"/>
          <w:sz w:val="24"/>
          <w:highlight w:val="none"/>
        </w:rPr>
      </w:pPr>
      <w:r>
        <w:rPr>
          <w:rFonts w:hint="eastAsia" w:ascii="Times New Roman" w:hAnsi="Times New Roman" w:cs="Times New Roman"/>
          <w:color w:val="auto"/>
          <w:sz w:val="24"/>
          <w:highlight w:val="none"/>
          <w:lang w:val="en-US" w:eastAsia="zh-CN"/>
        </w:rPr>
        <w:t>本</w:t>
      </w:r>
      <w:r>
        <w:rPr>
          <w:rFonts w:ascii="Times New Roman" w:hAnsi="Times New Roman" w:eastAsia="宋体" w:cs="Times New Roman"/>
          <w:color w:val="auto"/>
          <w:sz w:val="24"/>
          <w:highlight w:val="none"/>
        </w:rPr>
        <w:t>项目</w:t>
      </w:r>
      <w:r>
        <w:rPr>
          <w:rFonts w:hint="eastAsia" w:ascii="Times New Roman" w:hAnsi="Times New Roman" w:cs="Times New Roman"/>
          <w:color w:val="auto"/>
          <w:sz w:val="24"/>
          <w:highlight w:val="none"/>
          <w:lang w:val="en-US" w:eastAsia="zh-CN"/>
        </w:rPr>
        <w:t>无</w:t>
      </w:r>
      <w:r>
        <w:rPr>
          <w:rFonts w:ascii="Times New Roman" w:hAnsi="Times New Roman" w:eastAsia="宋体" w:cs="Times New Roman"/>
          <w:color w:val="auto"/>
          <w:sz w:val="24"/>
          <w:highlight w:val="none"/>
        </w:rPr>
        <w:t>生产废水</w:t>
      </w:r>
      <w:r>
        <w:rPr>
          <w:rFonts w:hint="eastAsia" w:ascii="Times New Roman" w:hAnsi="Times New Roman" w:cs="Times New Roman"/>
          <w:color w:val="auto"/>
          <w:sz w:val="24"/>
          <w:highlight w:val="none"/>
          <w:lang w:val="en-US" w:eastAsia="zh-CN"/>
        </w:rPr>
        <w:t>排放，不涉及</w:t>
      </w:r>
      <w:r>
        <w:rPr>
          <w:rFonts w:ascii="Times New Roman" w:hAnsi="Times New Roman" w:eastAsia="宋体" w:cs="Times New Roman"/>
          <w:color w:val="auto"/>
          <w:sz w:val="24"/>
          <w:highlight w:val="none"/>
        </w:rPr>
        <w:t>废水处理设施处理效率问题。</w:t>
      </w:r>
    </w:p>
    <w:p w14:paraId="52E83BF9">
      <w:pPr>
        <w:pStyle w:val="10"/>
        <w:spacing w:line="360" w:lineRule="auto"/>
        <w:ind w:firstLine="480" w:firstLineChars="200"/>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（2）废气处理设施</w:t>
      </w:r>
    </w:p>
    <w:p w14:paraId="21C3CF4C">
      <w:pPr>
        <w:pStyle w:val="10"/>
        <w:spacing w:line="360" w:lineRule="auto"/>
        <w:ind w:firstLine="480" w:firstLineChars="200"/>
        <w:rPr>
          <w:rFonts w:hint="eastAsia" w:ascii="Times New Roman" w:hAnsi="Times New Roman" w:cs="Times New Roman"/>
          <w:color w:val="auto"/>
          <w:sz w:val="24"/>
          <w:highlight w:val="none"/>
          <w:lang w:val="en-US" w:eastAsia="zh-CN"/>
        </w:rPr>
      </w:pPr>
      <w:r>
        <w:rPr>
          <w:rFonts w:ascii="Times New Roman" w:hAnsi="Times New Roman" w:eastAsia="宋体" w:cs="Times New Roman"/>
          <w:color w:val="auto"/>
          <w:sz w:val="24"/>
          <w:highlight w:val="none"/>
        </w:rPr>
        <w:t>监测结果显示：</w:t>
      </w:r>
      <w:r>
        <w:rPr>
          <w:rFonts w:hint="default" w:ascii="Times New Roman" w:hAnsi="Times New Roman" w:eastAsia="宋体" w:cs="Times New Roman"/>
          <w:color w:val="auto"/>
          <w:sz w:val="24"/>
          <w:highlight w:val="none"/>
          <w:lang w:val="en-US" w:eastAsia="zh-CN"/>
        </w:rPr>
        <w:t>本项目环保炉煅烧废气、天然气燃烧废气中颗粒物、二氧化硫、氮氧化物有组织排放满足《轧钢工业大气污染物排放标准》</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GB28665-2012</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表3中的特别排放限值；本项目多用炉废气中颗粒物有组织排放满足《轧钢工业大气污染物排放标准》</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GB28665-2012</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表3中的特别排放限值</w:t>
      </w:r>
      <w:r>
        <w:rPr>
          <w:rFonts w:hint="eastAsia" w:ascii="Times New Roman" w:hAnsi="Times New Roman" w:cs="Times New Roman"/>
          <w:color w:val="auto"/>
          <w:sz w:val="24"/>
          <w:highlight w:val="none"/>
          <w:lang w:val="en-US" w:eastAsia="zh-CN"/>
        </w:rPr>
        <w:t>。</w:t>
      </w:r>
    </w:p>
    <w:p w14:paraId="6874B020">
      <w:pPr>
        <w:pStyle w:val="10"/>
        <w:spacing w:line="360" w:lineRule="auto"/>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厂界无组织颗粒物、二氧化硫、氮氧化物、非甲烷总烃排放浓度满足《大气污染物综合排放标准》（GB16297-1996）表2中的排放限值；厂区内非甲烷总烃无组织排放浓度执行《挥发性有机物无组织排放控制标准》（GB37822-2019）附录A中的标准值。</w:t>
      </w:r>
    </w:p>
    <w:p w14:paraId="450DB174">
      <w:pPr>
        <w:pStyle w:val="10"/>
        <w:spacing w:line="360" w:lineRule="auto"/>
        <w:ind w:firstLine="480" w:firstLineChars="200"/>
        <w:rPr>
          <w:rFonts w:ascii="Times New Roman" w:hAnsi="Times New Roman" w:eastAsia="宋体" w:cs="Times New Roman"/>
          <w:color w:val="auto"/>
          <w:sz w:val="24"/>
          <w:highlight w:val="none"/>
        </w:rPr>
      </w:pPr>
      <w:r>
        <w:rPr>
          <w:rFonts w:hint="eastAsia" w:ascii="Times New Roman" w:hAnsi="Times New Roman" w:cs="Times New Roman"/>
          <w:color w:val="auto"/>
          <w:sz w:val="24"/>
          <w:highlight w:val="none"/>
          <w:lang w:val="en-US" w:eastAsia="zh-CN"/>
        </w:rPr>
        <w:t>综上，说明本项目采取的废气处理设施合理。</w:t>
      </w:r>
    </w:p>
    <w:p w14:paraId="1BC91D5A">
      <w:pPr>
        <w:pStyle w:val="10"/>
        <w:spacing w:line="360" w:lineRule="auto"/>
        <w:ind w:firstLine="360" w:firstLineChars="150"/>
        <w:rPr>
          <w:rFonts w:ascii="Times New Roman" w:hAnsi="Times New Roman" w:eastAsia="宋体" w:cs="Times New Roman"/>
          <w:color w:val="auto"/>
          <w:sz w:val="24"/>
          <w:szCs w:val="32"/>
          <w:highlight w:val="none"/>
        </w:rPr>
      </w:pPr>
      <w:r>
        <w:rPr>
          <w:rFonts w:ascii="Times New Roman" w:hAnsi="Times New Roman" w:eastAsia="宋体" w:cs="Times New Roman"/>
          <w:color w:val="auto"/>
          <w:sz w:val="24"/>
          <w:szCs w:val="32"/>
          <w:highlight w:val="none"/>
        </w:rPr>
        <w:t>（</w:t>
      </w:r>
      <w:r>
        <w:rPr>
          <w:rFonts w:hint="eastAsia" w:ascii="Times New Roman" w:hAnsi="Times New Roman" w:cs="Times New Roman"/>
          <w:color w:val="auto"/>
          <w:sz w:val="24"/>
          <w:szCs w:val="32"/>
          <w:highlight w:val="none"/>
          <w:lang w:val="en-US" w:eastAsia="zh-CN"/>
        </w:rPr>
        <w:t>3</w:t>
      </w:r>
      <w:r>
        <w:rPr>
          <w:rFonts w:ascii="Times New Roman" w:hAnsi="Times New Roman" w:eastAsia="宋体" w:cs="Times New Roman"/>
          <w:color w:val="auto"/>
          <w:sz w:val="24"/>
          <w:szCs w:val="32"/>
          <w:highlight w:val="none"/>
        </w:rPr>
        <w:t>）厂界噪声治理设施</w:t>
      </w:r>
    </w:p>
    <w:p w14:paraId="04DB264B">
      <w:pPr>
        <w:pStyle w:val="1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lang w:bidi="ar"/>
        </w:rPr>
        <w:t>监测结果显示：</w:t>
      </w:r>
      <w:r>
        <w:rPr>
          <w:rFonts w:hint="eastAsia" w:ascii="Times New Roman" w:hAnsi="Times New Roman" w:cs="Times New Roman"/>
          <w:color w:val="auto"/>
          <w:sz w:val="24"/>
          <w:highlight w:val="none"/>
          <w:lang w:val="en-US" w:eastAsia="zh-CN" w:bidi="ar"/>
        </w:rPr>
        <w:t>本项目昼间厂界噪声排放满足《工业企业厂界环境噪声排放标准》（GB12348-2008）中的3类标准</w:t>
      </w:r>
      <w:r>
        <w:rPr>
          <w:rFonts w:hint="eastAsia" w:ascii="Times New Roman" w:hAnsi="Times New Roman" w:cs="Times New Roman"/>
          <w:color w:val="auto"/>
          <w:sz w:val="24"/>
          <w:highlight w:val="none"/>
          <w:lang w:val="en-US" w:eastAsia="zh-CN"/>
        </w:rPr>
        <w:t>，说明本项目采取的噪声防治措施合理。</w:t>
      </w:r>
    </w:p>
    <w:p w14:paraId="0F4D128F">
      <w:pPr>
        <w:pStyle w:val="10"/>
        <w:spacing w:line="360" w:lineRule="auto"/>
        <w:ind w:firstLine="360" w:firstLineChars="150"/>
        <w:rPr>
          <w:rFonts w:ascii="Times New Roman" w:hAnsi="Times New Roman" w:eastAsia="宋体" w:cs="Times New Roman"/>
          <w:color w:val="auto"/>
          <w:sz w:val="24"/>
          <w:szCs w:val="32"/>
          <w:highlight w:val="none"/>
        </w:rPr>
      </w:pPr>
      <w:r>
        <w:rPr>
          <w:rFonts w:ascii="Times New Roman" w:hAnsi="Times New Roman" w:eastAsia="宋体" w:cs="Times New Roman"/>
          <w:color w:val="auto"/>
          <w:sz w:val="24"/>
          <w:szCs w:val="32"/>
          <w:highlight w:val="none"/>
        </w:rPr>
        <w:t>（</w:t>
      </w:r>
      <w:r>
        <w:rPr>
          <w:rFonts w:hint="eastAsia" w:ascii="Times New Roman" w:hAnsi="Times New Roman" w:cs="Times New Roman"/>
          <w:color w:val="auto"/>
          <w:sz w:val="24"/>
          <w:szCs w:val="32"/>
          <w:highlight w:val="none"/>
          <w:lang w:val="en-US" w:eastAsia="zh-CN"/>
        </w:rPr>
        <w:t>4</w:t>
      </w:r>
      <w:r>
        <w:rPr>
          <w:rFonts w:ascii="Times New Roman" w:hAnsi="Times New Roman" w:eastAsia="宋体" w:cs="Times New Roman"/>
          <w:color w:val="auto"/>
          <w:sz w:val="24"/>
          <w:szCs w:val="32"/>
          <w:highlight w:val="none"/>
        </w:rPr>
        <w:t>）固体废物治理设施</w:t>
      </w:r>
    </w:p>
    <w:p w14:paraId="6475F7D7">
      <w:pPr>
        <w:pStyle w:val="10"/>
        <w:spacing w:line="360" w:lineRule="auto"/>
        <w:ind w:firstLine="360" w:firstLineChars="150"/>
        <w:rPr>
          <w:rFonts w:hint="eastAsia" w:ascii="Times New Roman" w:hAnsi="Times New Roman" w:cs="Times New Roman"/>
          <w:color w:val="auto"/>
          <w:kern w:val="0"/>
          <w:sz w:val="24"/>
          <w:highlight w:val="none"/>
          <w:lang w:val="en-US" w:eastAsia="zh-CN"/>
        </w:rPr>
      </w:pPr>
      <w:r>
        <w:rPr>
          <w:rFonts w:hint="eastAsia" w:ascii="Times New Roman" w:hAnsi="Times New Roman" w:cs="Times New Roman"/>
          <w:color w:val="auto"/>
          <w:sz w:val="24"/>
          <w:szCs w:val="32"/>
          <w:highlight w:val="none"/>
          <w:lang w:val="en-US" w:eastAsia="zh-CN"/>
        </w:rPr>
        <w:t>本</w:t>
      </w:r>
      <w:r>
        <w:rPr>
          <w:rFonts w:ascii="Times New Roman" w:hAnsi="Times New Roman" w:eastAsia="宋体" w:cs="Times New Roman"/>
          <w:color w:val="auto"/>
          <w:sz w:val="24"/>
          <w:szCs w:val="32"/>
          <w:highlight w:val="none"/>
        </w:rPr>
        <w:t>项目固废均委托外单位进行处置，自身不配备</w:t>
      </w:r>
      <w:r>
        <w:rPr>
          <w:rFonts w:hint="eastAsia" w:ascii="Times New Roman" w:hAnsi="Times New Roman" w:cs="Times New Roman"/>
          <w:color w:val="auto"/>
          <w:sz w:val="24"/>
          <w:szCs w:val="32"/>
          <w:highlight w:val="none"/>
          <w:lang w:eastAsia="zh-CN"/>
        </w:rPr>
        <w:t>固体废物处理</w:t>
      </w:r>
      <w:r>
        <w:rPr>
          <w:rFonts w:ascii="Times New Roman" w:hAnsi="Times New Roman" w:eastAsia="宋体" w:cs="Times New Roman"/>
          <w:color w:val="auto"/>
          <w:sz w:val="24"/>
          <w:szCs w:val="32"/>
          <w:highlight w:val="none"/>
        </w:rPr>
        <w:t>设施。</w:t>
      </w:r>
      <w:r>
        <w:rPr>
          <w:rFonts w:hint="eastAsia" w:ascii="Times New Roman" w:hAnsi="Times New Roman" w:cs="Times New Roman"/>
          <w:color w:val="auto"/>
          <w:kern w:val="0"/>
          <w:sz w:val="24"/>
          <w:highlight w:val="none"/>
          <w:lang w:val="en-US" w:eastAsia="zh-CN"/>
        </w:rPr>
        <w:t>生活垃圾集中收集后委托环卫部门清运处理；金属边角料集中收集后暂存于一般固废堆放区，出售给安徽省力鑫特钢有限公司处理；含油金属屑、废油、废机油、废切削液、废槽液、废乳化液、废液压油、废锂基脂、废黄油、废桶集中收集后在危废仓库暂存，定期委托马鞍山澳新环保科技有限公司安全处置。</w:t>
      </w:r>
    </w:p>
    <w:p w14:paraId="647695F5">
      <w:pPr>
        <w:pStyle w:val="10"/>
        <w:keepNext w:val="0"/>
        <w:keepLines w:val="0"/>
        <w:pageBreakBefore w:val="0"/>
        <w:widowControl w:val="0"/>
        <w:kinsoku/>
        <w:wordWrap/>
        <w:overflowPunct/>
        <w:topLinePunct w:val="0"/>
        <w:autoSpaceDE/>
        <w:autoSpaceDN/>
        <w:bidi w:val="0"/>
        <w:adjustRightInd/>
        <w:snapToGrid/>
        <w:spacing w:line="240" w:lineRule="auto"/>
        <w:ind w:firstLine="315" w:firstLineChars="150"/>
        <w:textAlignment w:val="auto"/>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注：①环评审批中未分析废乳化液、废液压油，实际本项目使用乳化液、液压油时，会相应产生废乳化液、废液压油，均作为危废，集中收集后委托马鞍山澳新环保科技有限公司安全处置；</w:t>
      </w:r>
    </w:p>
    <w:p w14:paraId="19AE6061">
      <w:pPr>
        <w:pStyle w:val="10"/>
        <w:keepNext w:val="0"/>
        <w:keepLines w:val="0"/>
        <w:pageBreakBefore w:val="0"/>
        <w:widowControl w:val="0"/>
        <w:kinsoku/>
        <w:wordWrap/>
        <w:overflowPunct/>
        <w:topLinePunct w:val="0"/>
        <w:autoSpaceDE/>
        <w:autoSpaceDN/>
        <w:bidi w:val="0"/>
        <w:adjustRightInd/>
        <w:snapToGrid/>
        <w:spacing w:line="240" w:lineRule="auto"/>
        <w:ind w:firstLine="315" w:firstLineChars="150"/>
        <w:textAlignment w:val="auto"/>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②环评审批中原辅料使用后产生的废桶集中收集后由供应商回收，所以包装桶不属于固体废物，实际原辅料使用后产生的废桶，作为危废，集中收集后委托马鞍山澳新环保科技有限公司安全处置。</w:t>
      </w:r>
    </w:p>
    <w:p w14:paraId="19169DCC">
      <w:pPr>
        <w:pStyle w:val="10"/>
        <w:keepNext w:val="0"/>
        <w:keepLines w:val="0"/>
        <w:pageBreakBefore w:val="0"/>
        <w:widowControl w:val="0"/>
        <w:kinsoku/>
        <w:wordWrap/>
        <w:overflowPunct/>
        <w:topLinePunct w:val="0"/>
        <w:autoSpaceDE/>
        <w:autoSpaceDN/>
        <w:bidi w:val="0"/>
        <w:adjustRightInd/>
        <w:snapToGrid/>
        <w:spacing w:line="240" w:lineRule="auto"/>
        <w:ind w:firstLine="315" w:firstLineChars="150"/>
        <w:textAlignment w:val="auto"/>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③本项目实际设备润滑需要用到黄油和锂基脂，会相应产生废黄油和废锂基脂，通过对照《国家危险废物名录》（2025年版），该固废属于危险固废，集中收集后委托马鞍山澳新环保科技有限公司安全处置。</w:t>
      </w:r>
    </w:p>
    <w:p w14:paraId="0FD712C6">
      <w:pPr>
        <w:pStyle w:val="10"/>
        <w:spacing w:line="360" w:lineRule="auto"/>
        <w:ind w:firstLine="360" w:firstLineChars="150"/>
        <w:rPr>
          <w:rFonts w:ascii="Times New Roman" w:hAnsi="Times New Roman" w:eastAsia="宋体" w:cs="Times New Roman"/>
          <w:color w:val="auto"/>
          <w:sz w:val="24"/>
          <w:szCs w:val="32"/>
          <w:highlight w:val="none"/>
        </w:rPr>
      </w:pPr>
      <w:r>
        <w:rPr>
          <w:rFonts w:ascii="Times New Roman" w:hAnsi="Times New Roman" w:eastAsia="宋体" w:cs="Times New Roman"/>
          <w:color w:val="auto"/>
          <w:sz w:val="24"/>
          <w:szCs w:val="32"/>
          <w:highlight w:val="none"/>
        </w:rPr>
        <w:t>（二）污染物排放情况</w:t>
      </w:r>
    </w:p>
    <w:p w14:paraId="3064D764">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lang w:eastAsia="zh-CN"/>
        </w:rPr>
        <w:t>（</w:t>
      </w:r>
      <w:r>
        <w:rPr>
          <w:rFonts w:hint="eastAsia" w:ascii="Times New Roman" w:hAnsi="Times New Roman" w:eastAsia="宋体"/>
          <w:color w:val="auto"/>
          <w:kern w:val="0"/>
          <w:sz w:val="24"/>
          <w:highlight w:val="none"/>
          <w:lang w:val="en-US" w:eastAsia="zh-CN"/>
        </w:rPr>
        <w:t>1</w:t>
      </w:r>
      <w:r>
        <w:rPr>
          <w:rFonts w:hint="eastAsia" w:ascii="Times New Roman" w:hAnsi="Times New Roman" w:eastAsia="宋体"/>
          <w:color w:val="auto"/>
          <w:kern w:val="0"/>
          <w:sz w:val="24"/>
          <w:highlight w:val="none"/>
          <w:lang w:eastAsia="zh-CN"/>
        </w:rPr>
        <w:t>）</w:t>
      </w:r>
      <w:r>
        <w:rPr>
          <w:rFonts w:ascii="Times New Roman" w:hAnsi="Times New Roman" w:eastAsia="宋体"/>
          <w:color w:val="auto"/>
          <w:kern w:val="0"/>
          <w:sz w:val="24"/>
          <w:highlight w:val="none"/>
        </w:rPr>
        <w:t>废水污染物排放评价</w:t>
      </w:r>
    </w:p>
    <w:p w14:paraId="6AFD85B5">
      <w:pPr>
        <w:pStyle w:val="10"/>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24"/>
          <w:highlight w:val="none"/>
          <w:lang w:val="en-US" w:eastAsia="zh-CN"/>
        </w:rPr>
        <w:t>项目验收监测期间，由检测结果可知，本项目生活污水pH值、悬浮物、氨氮、化学需氧量和五日生化需氧量排放浓度满足邱村镇污水处理厂纳管标准。</w:t>
      </w:r>
    </w:p>
    <w:p w14:paraId="79ECE2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olor w:val="auto"/>
          <w:kern w:val="0"/>
          <w:sz w:val="24"/>
          <w:highlight w:val="none"/>
        </w:rPr>
      </w:pPr>
      <w:r>
        <w:rPr>
          <w:rFonts w:hint="eastAsia" w:ascii="Times New Roman" w:hAnsi="Times New Roman" w:cs="Times New Roman"/>
          <w:color w:val="auto"/>
          <w:sz w:val="24"/>
          <w:szCs w:val="32"/>
          <w:highlight w:val="none"/>
          <w:lang w:eastAsia="zh-CN"/>
        </w:rPr>
        <w:t>（</w:t>
      </w:r>
      <w:r>
        <w:rPr>
          <w:rFonts w:hint="eastAsia" w:ascii="Times New Roman" w:hAnsi="Times New Roman" w:cs="Times New Roman"/>
          <w:color w:val="auto"/>
          <w:sz w:val="24"/>
          <w:szCs w:val="32"/>
          <w:highlight w:val="none"/>
          <w:lang w:val="en-US" w:eastAsia="zh-CN"/>
        </w:rPr>
        <w:t>2</w:t>
      </w:r>
      <w:r>
        <w:rPr>
          <w:rFonts w:hint="eastAsia" w:ascii="Times New Roman" w:hAnsi="Times New Roman" w:cs="Times New Roman"/>
          <w:color w:val="auto"/>
          <w:sz w:val="24"/>
          <w:szCs w:val="32"/>
          <w:highlight w:val="none"/>
          <w:lang w:eastAsia="zh-CN"/>
        </w:rPr>
        <w:t>）</w:t>
      </w:r>
      <w:r>
        <w:rPr>
          <w:rFonts w:ascii="Times New Roman" w:hAnsi="Times New Roman" w:eastAsia="宋体"/>
          <w:color w:val="auto"/>
          <w:kern w:val="0"/>
          <w:sz w:val="24"/>
          <w:highlight w:val="none"/>
        </w:rPr>
        <w:t>废气污染物排放评价</w:t>
      </w:r>
    </w:p>
    <w:p w14:paraId="2E2D574F">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项目验收监测期间，由检测结果可知，本项目环保炉煅烧废气、天然气燃烧废气中颗粒物、二氧化硫、氮氧化物有组织排放满足《轧钢工业大气污染物排放标准》（GB28665-2012）表3中的特别排放限值；本项目多用炉废气中颗粒物有组织排放满足《轧钢工业大气污染物排放标准》（GB28665-2012）表3中的特别排放限值。</w:t>
      </w:r>
    </w:p>
    <w:p w14:paraId="20A14232">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项目验收监测期间，由检测结果可知，厂界无组织颗粒物、二氧化硫、氮氧化物、非甲烷总烃排放浓度满足《大气污染物综合排放标准》（GB16297-1996）表2中的排放限值；厂区内非甲烷总烃无组织排放浓度执行《挥发性有机物无组织排放控制标准》（GB37822-2019）附录A中的标准值。</w:t>
      </w:r>
    </w:p>
    <w:p w14:paraId="1B0245EE">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ascii="Times New Roman" w:hAnsi="Times New Roman" w:eastAsia="宋体" w:cs="Times New Roman"/>
          <w:color w:val="auto"/>
          <w:sz w:val="24"/>
          <w:szCs w:val="32"/>
          <w:highlight w:val="none"/>
        </w:rPr>
      </w:pPr>
      <w:r>
        <w:rPr>
          <w:rFonts w:ascii="Times New Roman" w:hAnsi="Times New Roman" w:eastAsia="宋体"/>
          <w:color w:val="auto"/>
          <w:sz w:val="24"/>
          <w:szCs w:val="32"/>
          <w:highlight w:val="none"/>
        </w:rPr>
        <w:t>（</w:t>
      </w:r>
      <w:r>
        <w:rPr>
          <w:rFonts w:ascii="Times New Roman" w:hAnsi="Times New Roman" w:eastAsia="宋体"/>
          <w:color w:val="auto"/>
          <w:kern w:val="0"/>
          <w:sz w:val="24"/>
          <w:highlight w:val="none"/>
        </w:rPr>
        <w:t>3）</w:t>
      </w:r>
      <w:r>
        <w:rPr>
          <w:rFonts w:ascii="Times New Roman" w:hAnsi="Times New Roman" w:eastAsia="宋体" w:cs="Times New Roman"/>
          <w:color w:val="auto"/>
          <w:sz w:val="24"/>
          <w:szCs w:val="32"/>
          <w:highlight w:val="none"/>
        </w:rPr>
        <w:t>噪声污染物排放评价</w:t>
      </w:r>
    </w:p>
    <w:p w14:paraId="22298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auto"/>
          <w:kern w:val="0"/>
          <w:sz w:val="24"/>
          <w:highlight w:val="none"/>
          <w:lang w:val="en-US" w:eastAsia="zh-CN"/>
        </w:rPr>
      </w:pPr>
      <w:r>
        <w:rPr>
          <w:rFonts w:hint="default" w:ascii="Times New Roman" w:hAnsi="Times New Roman" w:eastAsia="宋体"/>
          <w:color w:val="auto"/>
          <w:kern w:val="0"/>
          <w:sz w:val="24"/>
          <w:highlight w:val="none"/>
          <w:lang w:val="en-US" w:eastAsia="zh-CN"/>
        </w:rPr>
        <w:t>项目验收监测期间，由检测结果可知，昼间厂界噪声排放满足《工业企业厂界环境噪声排放标准》（GB12348-2008）中的3类标准</w:t>
      </w:r>
      <w:r>
        <w:rPr>
          <w:rFonts w:hint="eastAsia" w:ascii="Times New Roman" w:hAnsi="Times New Roman" w:eastAsia="宋体"/>
          <w:color w:val="auto"/>
          <w:kern w:val="0"/>
          <w:sz w:val="24"/>
          <w:highlight w:val="none"/>
          <w:lang w:val="en-US" w:eastAsia="zh-CN"/>
        </w:rPr>
        <w:t>。</w:t>
      </w:r>
    </w:p>
    <w:p w14:paraId="23C967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（4）污染物排放总量</w:t>
      </w:r>
    </w:p>
    <w:p w14:paraId="45FD5A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 1 \* GB3 \* MERGEFORMAT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①</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废水</w:t>
      </w:r>
    </w:p>
    <w:p w14:paraId="1B5716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根据原环评文件，废水中纳入总量控制的指标为COD</w:t>
      </w:r>
      <w:r>
        <w:rPr>
          <w:rFonts w:hint="default" w:ascii="Times New Roman" w:hAnsi="Times New Roman" w:cs="Times New Roman"/>
          <w:color w:val="auto"/>
          <w:sz w:val="24"/>
          <w:szCs w:val="24"/>
          <w:highlight w:val="none"/>
          <w:vertAlign w:val="subscript"/>
          <w:lang w:val="en-US" w:eastAsia="zh-CN"/>
        </w:rPr>
        <w:t>Cr</w:t>
      </w:r>
      <w:r>
        <w:rPr>
          <w:rFonts w:hint="default" w:ascii="Times New Roman" w:hAnsi="Times New Roman" w:cs="Times New Roman"/>
          <w:color w:val="auto"/>
          <w:sz w:val="24"/>
          <w:szCs w:val="24"/>
          <w:highlight w:val="none"/>
          <w:lang w:val="en-US" w:eastAsia="zh-CN"/>
        </w:rPr>
        <w:t>、NH</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N。生活污水经化粪池、隔油池预处理达接管标准后，纳管至邱村镇污水处理厂处理，其排放量约为2400t/a。邱村镇污水处理厂尾水排放执行《城镇污水处理厂污染物排放标准》（GB18918-2002）一级A标准，则排入自然水体的主要污染物COD</w:t>
      </w:r>
      <w:r>
        <w:rPr>
          <w:rFonts w:hint="default" w:ascii="Times New Roman" w:hAnsi="Times New Roman" w:cs="Times New Roman"/>
          <w:color w:val="auto"/>
          <w:sz w:val="24"/>
          <w:szCs w:val="24"/>
          <w:highlight w:val="none"/>
          <w:vertAlign w:val="subscript"/>
          <w:lang w:val="en-US" w:eastAsia="zh-CN"/>
        </w:rPr>
        <w:t>Cr</w:t>
      </w:r>
      <w:r>
        <w:rPr>
          <w:rFonts w:hint="default" w:ascii="Times New Roman" w:hAnsi="Times New Roman" w:cs="Times New Roman"/>
          <w:color w:val="auto"/>
          <w:sz w:val="24"/>
          <w:szCs w:val="24"/>
          <w:highlight w:val="none"/>
          <w:lang w:val="en-US" w:eastAsia="zh-CN"/>
        </w:rPr>
        <w:t>：0.120t/a、NH</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-N：0.012t/a。</w:t>
      </w:r>
    </w:p>
    <w:p w14:paraId="5A54DE4E">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②废气</w:t>
      </w:r>
    </w:p>
    <w:p w14:paraId="739C3CAD">
      <w:pPr>
        <w:pStyle w:val="11"/>
        <w:keepNext w:val="0"/>
        <w:keepLines w:val="0"/>
        <w:widowControl w:val="0"/>
        <w:suppressLineNumbers w:val="0"/>
        <w:autoSpaceDE w:val="0"/>
        <w:autoSpaceDN/>
        <w:spacing w:before="0" w:beforeAutospacing="0" w:after="0" w:afterLines="0" w:afterAutospacing="0" w:line="360" w:lineRule="auto"/>
        <w:ind w:left="0" w:leftChars="0" w:right="0" w:firstLine="480" w:firstLineChars="200"/>
        <w:jc w:val="both"/>
        <w:rPr>
          <w:rFonts w:hint="eastAsia"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根据原环评文件，废气中纳入总量控制的指标为二氧化硫、氮氧化物和颗粒物。</w:t>
      </w:r>
    </w:p>
    <w:p w14:paraId="545025FA">
      <w:pPr>
        <w:keepNext w:val="0"/>
        <w:keepLines w:val="0"/>
        <w:widowControl w:val="0"/>
        <w:suppressLineNumbers w:val="0"/>
        <w:spacing w:before="0" w:beforeAutospacing="0" w:after="0" w:afterAutospacing="0" w:line="360" w:lineRule="auto"/>
        <w:ind w:left="0" w:right="0" w:rightChars="0" w:firstLine="480" w:firstLineChars="200"/>
        <w:jc w:val="both"/>
        <w:rPr>
          <w:rFonts w:hint="eastAsia"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本项目环保炉热处理过程中，会产生煅烧废气，其主要污染因子为颗粒物、二氧化硫、氮氧化物，满负荷年工作时间为</w:t>
      </w:r>
      <w:r>
        <w:rPr>
          <w:rFonts w:hint="default" w:ascii="Times New Roman" w:hAnsi="Times New Roman" w:eastAsia="宋体" w:cs="Times New Roman"/>
          <w:color w:val="auto"/>
          <w:kern w:val="2"/>
          <w:sz w:val="24"/>
          <w:szCs w:val="24"/>
          <w:lang w:val="en-US" w:eastAsia="zh-CN" w:bidi="ar"/>
        </w:rPr>
        <w:t>2400h</w:t>
      </w:r>
      <w:r>
        <w:rPr>
          <w:rFonts w:hint="eastAsia" w:ascii="宋体" w:hAnsi="宋体" w:eastAsia="宋体" w:cs="宋体"/>
          <w:color w:val="auto"/>
          <w:kern w:val="2"/>
          <w:sz w:val="24"/>
          <w:szCs w:val="24"/>
          <w:lang w:val="en-US" w:eastAsia="zh-CN" w:bidi="ar"/>
        </w:rPr>
        <w:t>。环保炉煅烧废气通过</w:t>
      </w:r>
      <w:r>
        <w:rPr>
          <w:rFonts w:hint="default" w:ascii="Times New Roman" w:hAnsi="Times New Roman" w:eastAsia="宋体" w:cs="Times New Roman"/>
          <w:color w:val="auto"/>
          <w:kern w:val="2"/>
          <w:sz w:val="24"/>
          <w:szCs w:val="24"/>
          <w:lang w:val="en-US" w:eastAsia="zh-CN" w:bidi="ar"/>
        </w:rPr>
        <w:t>1</w:t>
      </w:r>
      <w:r>
        <w:rPr>
          <w:rFonts w:hint="eastAsia" w:ascii="宋体" w:hAnsi="宋体" w:eastAsia="宋体" w:cs="宋体"/>
          <w:color w:val="auto"/>
          <w:kern w:val="2"/>
          <w:sz w:val="24"/>
          <w:szCs w:val="24"/>
          <w:lang w:val="en-US" w:eastAsia="zh-CN" w:bidi="ar"/>
        </w:rPr>
        <w:t>套陶瓷多管旋风除尘器（</w:t>
      </w:r>
      <w:r>
        <w:rPr>
          <w:rFonts w:hint="default" w:ascii="Times New Roman" w:hAnsi="Times New Roman" w:eastAsia="宋体" w:cs="Times New Roman"/>
          <w:color w:val="auto"/>
          <w:kern w:val="2"/>
          <w:sz w:val="24"/>
          <w:szCs w:val="24"/>
          <w:lang w:val="en-US" w:eastAsia="zh-CN" w:bidi="ar"/>
        </w:rPr>
        <w:t>TA001</w:t>
      </w:r>
      <w:r>
        <w:rPr>
          <w:rFonts w:hint="eastAsia" w:ascii="宋体" w:hAnsi="宋体" w:eastAsia="宋体" w:cs="宋体"/>
          <w:color w:val="auto"/>
          <w:kern w:val="2"/>
          <w:sz w:val="24"/>
          <w:szCs w:val="24"/>
          <w:lang w:val="en-US" w:eastAsia="zh-CN" w:bidi="ar"/>
        </w:rPr>
        <w:t>）处理。根据检测结果可知，颗粒物和二氧化硫浓度均未检出，故</w:t>
      </w:r>
      <w:r>
        <w:rPr>
          <w:rFonts w:hint="eastAsia" w:ascii="宋体" w:hAnsi="宋体" w:eastAsia="宋体" w:cs="宋体"/>
          <w:b/>
          <w:bCs/>
          <w:color w:val="auto"/>
          <w:kern w:val="2"/>
          <w:sz w:val="24"/>
          <w:szCs w:val="24"/>
          <w:lang w:val="en-US" w:eastAsia="zh-CN" w:bidi="ar"/>
        </w:rPr>
        <w:t>颗粒物排放量</w:t>
      </w:r>
      <w:r>
        <w:rPr>
          <w:rFonts w:hint="default" w:ascii="Times New Roman" w:hAnsi="Times New Roman" w:eastAsia="宋体" w:cs="Times New Roman"/>
          <w:b/>
          <w:bCs/>
          <w:color w:val="auto"/>
          <w:kern w:val="2"/>
          <w:sz w:val="24"/>
          <w:szCs w:val="24"/>
          <w:lang w:val="en-US" w:eastAsia="zh-CN" w:bidi="ar"/>
        </w:rPr>
        <w:t>=</w:t>
      </w:r>
      <w:r>
        <w:rPr>
          <w:rFonts w:hint="eastAsia" w:ascii="宋体" w:hAnsi="宋体" w:eastAsia="宋体" w:cs="宋体"/>
          <w:b/>
          <w:bCs/>
          <w:color w:val="auto"/>
          <w:kern w:val="2"/>
          <w:sz w:val="24"/>
          <w:szCs w:val="24"/>
          <w:lang w:val="en-US" w:eastAsia="zh-CN" w:bidi="ar"/>
        </w:rPr>
        <w:t>排放速率×年工作时间</w:t>
      </w:r>
      <w:r>
        <w:rPr>
          <w:rFonts w:hint="default"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3.23</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default" w:ascii="Times New Roman" w:hAnsi="Times New Roman" w:eastAsia="宋体" w:cs="Times New Roman"/>
          <w:b w:val="0"/>
          <w:bCs w:val="0"/>
          <w:color w:val="auto"/>
          <w:kern w:val="2"/>
          <w:sz w:val="24"/>
          <w:szCs w:val="24"/>
          <w:lang w:val="en-US" w:eastAsia="zh-CN" w:bidi="ar"/>
        </w:rPr>
        <w:t>+3.19</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2400</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default" w:ascii="Times New Roman" w:hAnsi="Times New Roman" w:eastAsia="宋体" w:cs="Times New Roman"/>
          <w:b w:val="0"/>
          <w:bCs w:val="0"/>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0.004t/a</w:t>
      </w:r>
      <w:r>
        <w:rPr>
          <w:rFonts w:hint="eastAsia" w:ascii="宋体" w:hAnsi="宋体" w:eastAsia="宋体" w:cs="宋体"/>
          <w:b/>
          <w:bCs/>
          <w:color w:val="auto"/>
          <w:kern w:val="2"/>
          <w:sz w:val="24"/>
          <w:szCs w:val="24"/>
          <w:lang w:val="en-US" w:eastAsia="zh-CN" w:bidi="ar"/>
        </w:rPr>
        <w:t>；二氧化硫排放量未检出</w:t>
      </w:r>
      <w:r>
        <w:rPr>
          <w:rFonts w:hint="default"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9.69</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default" w:ascii="Times New Roman" w:hAnsi="Times New Roman" w:eastAsia="宋体" w:cs="Times New Roman"/>
          <w:b w:val="0"/>
          <w:bCs w:val="0"/>
          <w:color w:val="auto"/>
          <w:kern w:val="2"/>
          <w:sz w:val="24"/>
          <w:szCs w:val="24"/>
          <w:lang w:val="en-US" w:eastAsia="zh-CN" w:bidi="ar"/>
        </w:rPr>
        <w:t>+9.57</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2400</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default" w:ascii="Times New Roman" w:hAnsi="Times New Roman" w:eastAsia="宋体" w:cs="Times New Roman"/>
          <w:b w:val="0"/>
          <w:bCs w:val="0"/>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0.012t/a</w:t>
      </w:r>
      <w:r>
        <w:rPr>
          <w:rFonts w:hint="eastAsia" w:ascii="宋体" w:hAnsi="宋体" w:eastAsia="宋体" w:cs="宋体"/>
          <w:b/>
          <w:bCs/>
          <w:color w:val="auto"/>
          <w:kern w:val="2"/>
          <w:sz w:val="24"/>
          <w:szCs w:val="24"/>
          <w:lang w:val="en-US" w:eastAsia="zh-CN" w:bidi="ar"/>
        </w:rPr>
        <w:t>；氮氧化物排放量</w:t>
      </w:r>
      <w:r>
        <w:rPr>
          <w:rFonts w:hint="default" w:ascii="Times New Roman" w:hAnsi="Times New Roman" w:eastAsia="宋体" w:cs="Times New Roman"/>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排放速率×年工作时间</w:t>
      </w:r>
      <w:r>
        <w:rPr>
          <w:rFonts w:hint="default" w:ascii="Times New Roman" w:hAnsi="Times New Roman" w:eastAsia="宋体" w:cs="Times New Roman"/>
          <w:color w:val="auto"/>
          <w:kern w:val="2"/>
          <w:sz w:val="24"/>
          <w:szCs w:val="24"/>
          <w:lang w:val="en-US" w:eastAsia="zh-CN" w:bidi="ar"/>
        </w:rPr>
        <w:t>=1/2</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3.88</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10</w:t>
      </w:r>
      <w:r>
        <w:rPr>
          <w:rFonts w:hint="default" w:ascii="Times New Roman" w:hAnsi="Times New Roman" w:eastAsia="宋体" w:cs="Times New Roman"/>
          <w:color w:val="auto"/>
          <w:kern w:val="2"/>
          <w:sz w:val="24"/>
          <w:szCs w:val="24"/>
          <w:vertAlign w:val="superscript"/>
          <w:lang w:val="en-US" w:eastAsia="zh-CN" w:bidi="ar"/>
        </w:rPr>
        <w:t>-2</w:t>
      </w:r>
      <w:r>
        <w:rPr>
          <w:rFonts w:hint="default" w:ascii="Times New Roman" w:hAnsi="Times New Roman" w:eastAsia="宋体" w:cs="Times New Roman"/>
          <w:color w:val="auto"/>
          <w:kern w:val="2"/>
          <w:sz w:val="24"/>
          <w:szCs w:val="24"/>
          <w:lang w:val="en-US" w:eastAsia="zh-CN" w:bidi="ar"/>
        </w:rPr>
        <w:t>+3.21</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10</w:t>
      </w:r>
      <w:r>
        <w:rPr>
          <w:rFonts w:hint="default" w:ascii="Times New Roman" w:hAnsi="Times New Roman" w:eastAsia="宋体" w:cs="Times New Roman"/>
          <w:color w:val="auto"/>
          <w:kern w:val="2"/>
          <w:sz w:val="24"/>
          <w:szCs w:val="24"/>
          <w:vertAlign w:val="superscript"/>
          <w:lang w:val="en-US" w:eastAsia="zh-CN" w:bidi="ar"/>
        </w:rPr>
        <w:t>-2</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2400</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10</w:t>
      </w:r>
      <w:r>
        <w:rPr>
          <w:rFonts w:hint="default" w:ascii="Times New Roman" w:hAnsi="Times New Roman" w:eastAsia="宋体" w:cs="Times New Roman"/>
          <w:color w:val="auto"/>
          <w:kern w:val="2"/>
          <w:sz w:val="24"/>
          <w:szCs w:val="24"/>
          <w:vertAlign w:val="superscript"/>
          <w:lang w:val="en-US" w:eastAsia="zh-CN" w:bidi="ar"/>
        </w:rPr>
        <w:t>-3</w:t>
      </w:r>
      <w:r>
        <w:rPr>
          <w:rFonts w:hint="default"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0.085t/a</w:t>
      </w:r>
      <w:r>
        <w:rPr>
          <w:rFonts w:hint="eastAsia" w:ascii="宋体" w:hAnsi="宋体" w:eastAsia="宋体" w:cs="宋体"/>
          <w:color w:val="auto"/>
          <w:kern w:val="2"/>
          <w:sz w:val="24"/>
          <w:szCs w:val="24"/>
          <w:lang w:val="en-US" w:eastAsia="zh-CN" w:bidi="ar"/>
        </w:rPr>
        <w:t>。</w:t>
      </w:r>
    </w:p>
    <w:p w14:paraId="660B2ECE">
      <w:pPr>
        <w:keepNext w:val="0"/>
        <w:keepLines w:val="0"/>
        <w:widowControl w:val="0"/>
        <w:suppressLineNumbers w:val="0"/>
        <w:spacing w:before="0" w:beforeAutospacing="0" w:after="0" w:afterAutospacing="0" w:line="360" w:lineRule="auto"/>
        <w:ind w:left="0" w:right="0" w:rightChars="0" w:firstLine="480" w:firstLineChars="200"/>
        <w:jc w:val="both"/>
        <w:rPr>
          <w:rFonts w:hint="eastAsia"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本项目多用炉废气包括油淬废气、渗碳废气和天然气燃烧废气，其主要污染因子为颗粒物、二氧化硫、氮氧化物、非甲烷总烃*，满负荷年工作时间为</w:t>
      </w:r>
      <w:r>
        <w:rPr>
          <w:rFonts w:hint="default" w:ascii="Times New Roman" w:hAnsi="Times New Roman" w:eastAsia="宋体" w:cs="Times New Roman"/>
          <w:color w:val="auto"/>
          <w:kern w:val="2"/>
          <w:sz w:val="24"/>
          <w:szCs w:val="24"/>
          <w:lang w:val="en-US" w:eastAsia="zh-CN" w:bidi="ar"/>
        </w:rPr>
        <w:t>2400h</w:t>
      </w:r>
      <w:r>
        <w:rPr>
          <w:rFonts w:hint="eastAsia" w:ascii="宋体" w:hAnsi="宋体" w:eastAsia="宋体" w:cs="宋体"/>
          <w:color w:val="auto"/>
          <w:kern w:val="2"/>
          <w:sz w:val="24"/>
          <w:szCs w:val="24"/>
          <w:lang w:val="en-US" w:eastAsia="zh-CN" w:bidi="ar"/>
        </w:rPr>
        <w:t>。渗碳废气、油淬废气合并通过设备自带的火炬燃烧器点燃废气后与天然气燃烧废气一并通过</w:t>
      </w:r>
      <w:r>
        <w:rPr>
          <w:rFonts w:hint="default" w:ascii="Times New Roman" w:hAnsi="Times New Roman" w:eastAsia="宋体" w:cs="Times New Roman"/>
          <w:color w:val="auto"/>
          <w:kern w:val="2"/>
          <w:sz w:val="24"/>
          <w:szCs w:val="24"/>
          <w:lang w:val="en-US" w:eastAsia="zh-CN" w:bidi="ar"/>
        </w:rPr>
        <w:t>1</w:t>
      </w:r>
      <w:r>
        <w:rPr>
          <w:rFonts w:hint="eastAsia" w:ascii="宋体" w:hAnsi="宋体" w:eastAsia="宋体" w:cs="宋体"/>
          <w:color w:val="auto"/>
          <w:kern w:val="2"/>
          <w:sz w:val="24"/>
          <w:szCs w:val="24"/>
          <w:lang w:val="en-US" w:eastAsia="zh-CN" w:bidi="ar"/>
        </w:rPr>
        <w:t>套过滤</w:t>
      </w:r>
      <w:r>
        <w:rPr>
          <w:rFonts w:hint="default" w:ascii="Times New Roman" w:hAnsi="Times New Roman" w:eastAsia="宋体" w:cs="Times New Roman"/>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静电除油装置处理（</w:t>
      </w:r>
      <w:r>
        <w:rPr>
          <w:rFonts w:hint="default" w:ascii="Times New Roman" w:hAnsi="Times New Roman" w:eastAsia="宋体" w:cs="Times New Roman"/>
          <w:color w:val="auto"/>
          <w:kern w:val="2"/>
          <w:sz w:val="24"/>
          <w:szCs w:val="24"/>
          <w:lang w:val="en-US" w:eastAsia="zh-CN" w:bidi="ar"/>
        </w:rPr>
        <w:t>TA002</w:t>
      </w:r>
      <w:r>
        <w:rPr>
          <w:rFonts w:hint="eastAsia" w:ascii="宋体" w:hAnsi="宋体" w:eastAsia="宋体" w:cs="宋体"/>
          <w:color w:val="auto"/>
          <w:kern w:val="2"/>
          <w:sz w:val="24"/>
          <w:szCs w:val="24"/>
          <w:lang w:val="en-US" w:eastAsia="zh-CN" w:bidi="ar"/>
        </w:rPr>
        <w:t>）。根据检测结果可知，颗粒物和二氧化硫浓度均未检出，故</w:t>
      </w:r>
      <w:r>
        <w:rPr>
          <w:rFonts w:hint="eastAsia" w:ascii="宋体" w:hAnsi="宋体" w:eastAsia="宋体" w:cs="宋体"/>
          <w:b/>
          <w:bCs/>
          <w:color w:val="auto"/>
          <w:kern w:val="2"/>
          <w:sz w:val="24"/>
          <w:szCs w:val="24"/>
          <w:lang w:val="en-US" w:eastAsia="zh-CN" w:bidi="ar"/>
        </w:rPr>
        <w:t>颗粒物排放量</w:t>
      </w:r>
      <w:r>
        <w:rPr>
          <w:rFonts w:hint="default" w:ascii="Times New Roman" w:hAnsi="Times New Roman" w:eastAsia="宋体" w:cs="Times New Roman"/>
          <w:b/>
          <w:bCs/>
          <w:color w:val="auto"/>
          <w:kern w:val="2"/>
          <w:sz w:val="24"/>
          <w:szCs w:val="24"/>
          <w:lang w:val="en-US" w:eastAsia="zh-CN" w:bidi="ar"/>
        </w:rPr>
        <w:t>=</w:t>
      </w:r>
      <w:r>
        <w:rPr>
          <w:rFonts w:hint="eastAsia" w:ascii="宋体" w:hAnsi="宋体" w:eastAsia="宋体" w:cs="宋体"/>
          <w:b/>
          <w:bCs/>
          <w:color w:val="auto"/>
          <w:kern w:val="2"/>
          <w:sz w:val="24"/>
          <w:szCs w:val="24"/>
          <w:lang w:val="en-US" w:eastAsia="zh-CN" w:bidi="ar"/>
        </w:rPr>
        <w:t>排放速率×年工作时间</w:t>
      </w:r>
      <w:r>
        <w:rPr>
          <w:rFonts w:hint="default"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1.29</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-2</w:t>
      </w:r>
      <w:r>
        <w:rPr>
          <w:rFonts w:hint="default" w:ascii="Times New Roman" w:hAnsi="Times New Roman" w:eastAsia="宋体" w:cs="Times New Roman"/>
          <w:b w:val="0"/>
          <w:bCs w:val="0"/>
          <w:color w:val="auto"/>
          <w:kern w:val="2"/>
          <w:sz w:val="24"/>
          <w:szCs w:val="24"/>
          <w:lang w:val="en-US" w:eastAsia="zh-CN" w:bidi="ar"/>
        </w:rPr>
        <w:t>+1.22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2400</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default" w:ascii="Times New Roman" w:hAnsi="Times New Roman" w:eastAsia="宋体" w:cs="Times New Roman"/>
          <w:b w:val="0"/>
          <w:bCs w:val="0"/>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0.015t/a</w:t>
      </w:r>
      <w:r>
        <w:rPr>
          <w:rFonts w:hint="eastAsia" w:ascii="宋体" w:hAnsi="宋体" w:eastAsia="宋体" w:cs="宋体"/>
          <w:b w:val="0"/>
          <w:bCs w:val="0"/>
          <w:color w:val="auto"/>
          <w:kern w:val="2"/>
          <w:sz w:val="24"/>
          <w:szCs w:val="24"/>
          <w:lang w:val="en-US" w:eastAsia="zh-CN" w:bidi="ar"/>
        </w:rPr>
        <w:t>；</w:t>
      </w:r>
      <w:r>
        <w:rPr>
          <w:rFonts w:hint="eastAsia" w:ascii="宋体" w:hAnsi="宋体" w:eastAsia="宋体" w:cs="宋体"/>
          <w:b/>
          <w:bCs/>
          <w:color w:val="auto"/>
          <w:kern w:val="2"/>
          <w:sz w:val="24"/>
          <w:szCs w:val="24"/>
          <w:lang w:val="en-US" w:eastAsia="zh-CN" w:bidi="ar"/>
        </w:rPr>
        <w:t>二氧化硫排放量</w:t>
      </w:r>
      <w:r>
        <w:rPr>
          <w:rFonts w:hint="default" w:ascii="Times New Roman" w:hAnsi="Times New Roman" w:eastAsia="宋体" w:cs="Times New Roman"/>
          <w:b/>
          <w:bCs/>
          <w:color w:val="auto"/>
          <w:kern w:val="2"/>
          <w:sz w:val="24"/>
          <w:szCs w:val="24"/>
          <w:lang w:val="en-US" w:eastAsia="zh-CN" w:bidi="ar"/>
        </w:rPr>
        <w:t>=</w:t>
      </w:r>
      <w:r>
        <w:rPr>
          <w:rFonts w:hint="eastAsia" w:ascii="宋体" w:hAnsi="宋体" w:eastAsia="宋体" w:cs="宋体"/>
          <w:b/>
          <w:bCs/>
          <w:color w:val="auto"/>
          <w:kern w:val="2"/>
          <w:sz w:val="24"/>
          <w:szCs w:val="24"/>
          <w:lang w:val="en-US" w:eastAsia="zh-CN" w:bidi="ar"/>
        </w:rPr>
        <w:t>排放速率×年工作时间</w:t>
      </w:r>
      <w:r>
        <w:rPr>
          <w:rFonts w:hint="default"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3.87</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-2</w:t>
      </w:r>
      <w:r>
        <w:rPr>
          <w:rFonts w:hint="default" w:ascii="Times New Roman" w:hAnsi="Times New Roman" w:eastAsia="宋体" w:cs="Times New Roman"/>
          <w:b w:val="0"/>
          <w:bCs w:val="0"/>
          <w:color w:val="auto"/>
          <w:kern w:val="2"/>
          <w:sz w:val="24"/>
          <w:szCs w:val="24"/>
          <w:lang w:val="en-US" w:eastAsia="zh-CN" w:bidi="ar"/>
        </w:rPr>
        <w:t>+3.66</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-2</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2400</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10</w:t>
      </w:r>
      <w:r>
        <w:rPr>
          <w:rFonts w:hint="default" w:ascii="Times New Roman" w:hAnsi="Times New Roman" w:eastAsia="宋体" w:cs="Times New Roman"/>
          <w:b w:val="0"/>
          <w:bCs w:val="0"/>
          <w:color w:val="auto"/>
          <w:kern w:val="2"/>
          <w:sz w:val="24"/>
          <w:szCs w:val="24"/>
          <w:vertAlign w:val="superscript"/>
          <w:lang w:val="en-US" w:eastAsia="zh-CN" w:bidi="ar"/>
        </w:rPr>
        <w:t>-3</w:t>
      </w:r>
      <w:r>
        <w:rPr>
          <w:rFonts w:hint="default" w:ascii="Times New Roman" w:hAnsi="Times New Roman" w:eastAsia="宋体" w:cs="Times New Roman"/>
          <w:b/>
          <w:bCs/>
          <w:color w:val="auto"/>
          <w:kern w:val="2"/>
          <w:sz w:val="24"/>
          <w:szCs w:val="24"/>
          <w:lang w:val="en-US" w:eastAsia="zh-CN" w:bidi="ar"/>
        </w:rPr>
        <w:t>=0.045t/a</w:t>
      </w:r>
      <w:r>
        <w:rPr>
          <w:rFonts w:hint="eastAsia" w:ascii="宋体" w:hAnsi="宋体" w:eastAsia="宋体" w:cs="宋体"/>
          <w:color w:val="auto"/>
          <w:kern w:val="2"/>
          <w:sz w:val="24"/>
          <w:szCs w:val="24"/>
          <w:lang w:val="en-US" w:eastAsia="zh-CN" w:bidi="ar"/>
        </w:rPr>
        <w:t>；</w:t>
      </w:r>
      <w:r>
        <w:rPr>
          <w:rFonts w:hint="eastAsia" w:ascii="宋体" w:hAnsi="宋体" w:eastAsia="宋体" w:cs="宋体"/>
          <w:b/>
          <w:bCs/>
          <w:color w:val="auto"/>
          <w:kern w:val="2"/>
          <w:sz w:val="24"/>
          <w:szCs w:val="24"/>
          <w:lang w:val="en-US" w:eastAsia="zh-CN" w:bidi="ar"/>
        </w:rPr>
        <w:t>氮氧化物排放量</w:t>
      </w:r>
      <w:r>
        <w:rPr>
          <w:rFonts w:hint="default" w:ascii="Times New Roman" w:hAnsi="Times New Roman" w:eastAsia="宋体" w:cs="Times New Roman"/>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排放速率×年工作时间</w:t>
      </w:r>
      <w:r>
        <w:rPr>
          <w:rFonts w:hint="default" w:ascii="Times New Roman" w:hAnsi="Times New Roman" w:eastAsia="宋体" w:cs="Times New Roman"/>
          <w:color w:val="auto"/>
          <w:kern w:val="2"/>
          <w:sz w:val="24"/>
          <w:szCs w:val="24"/>
          <w:lang w:val="en-US" w:eastAsia="zh-CN" w:bidi="ar"/>
        </w:rPr>
        <w:t>=1/2</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0.130+0.248</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2400</w:t>
      </w: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10</w:t>
      </w:r>
      <w:r>
        <w:rPr>
          <w:rFonts w:hint="default" w:ascii="Times New Roman" w:hAnsi="Times New Roman" w:eastAsia="宋体" w:cs="Times New Roman"/>
          <w:color w:val="auto"/>
          <w:kern w:val="2"/>
          <w:sz w:val="24"/>
          <w:szCs w:val="24"/>
          <w:vertAlign w:val="superscript"/>
          <w:lang w:val="en-US" w:eastAsia="zh-CN" w:bidi="ar"/>
        </w:rPr>
        <w:t>-3</w:t>
      </w:r>
      <w:r>
        <w:rPr>
          <w:rFonts w:hint="default"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0.454t/a</w:t>
      </w:r>
      <w:r>
        <w:rPr>
          <w:rFonts w:hint="eastAsia" w:ascii="宋体" w:hAnsi="宋体" w:eastAsia="宋体" w:cs="宋体"/>
          <w:color w:val="auto"/>
          <w:kern w:val="2"/>
          <w:sz w:val="24"/>
          <w:szCs w:val="24"/>
          <w:lang w:val="en-US" w:eastAsia="zh-CN" w:bidi="ar"/>
        </w:rPr>
        <w:t>。</w:t>
      </w:r>
    </w:p>
    <w:p w14:paraId="4E83D4AB">
      <w:pPr>
        <w:keepNext w:val="0"/>
        <w:keepLines w:val="0"/>
        <w:widowControl w:val="0"/>
        <w:suppressLineNumbers w:val="0"/>
        <w:autoSpaceDE w:val="0"/>
        <w:autoSpaceDN/>
        <w:spacing w:before="0" w:beforeAutospacing="0" w:after="0" w:afterAutospacing="0"/>
        <w:ind w:left="0" w:right="0" w:rightChars="0" w:firstLine="420" w:firstLineChars="200"/>
        <w:jc w:val="both"/>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注：*本项目环评分析中挥发性有机物经废气处理设施处理后排放量极小，不做定量分析。</w:t>
      </w:r>
    </w:p>
    <w:p w14:paraId="62CDA88A">
      <w:pPr>
        <w:pStyle w:val="11"/>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val="en-US" w:eastAsia="zh-CN" w:bidi="ar"/>
        </w:rPr>
        <w:t>根据企业的生产情况和验收监测结果，核算实际主要污染物排放总量控制指标COD</w:t>
      </w:r>
      <w:r>
        <w:rPr>
          <w:rFonts w:hint="default" w:ascii="Times New Roman" w:hAnsi="Times New Roman" w:eastAsia="宋体" w:cs="Times New Roman"/>
          <w:color w:val="auto"/>
          <w:kern w:val="2"/>
          <w:sz w:val="24"/>
          <w:szCs w:val="24"/>
          <w:vertAlign w:val="subscript"/>
          <w:lang w:val="en-US" w:eastAsia="zh-CN" w:bidi="ar"/>
        </w:rPr>
        <w:t>Cr</w:t>
      </w:r>
      <w:r>
        <w:rPr>
          <w:rFonts w:hint="default" w:ascii="Times New Roman" w:hAnsi="Times New Roman" w:eastAsia="宋体" w:cs="Times New Roman"/>
          <w:color w:val="auto"/>
          <w:kern w:val="2"/>
          <w:sz w:val="24"/>
          <w:szCs w:val="24"/>
          <w:lang w:val="en-US" w:eastAsia="zh-CN" w:bidi="ar"/>
        </w:rPr>
        <w:t>、NH</w:t>
      </w:r>
      <w:r>
        <w:rPr>
          <w:rFonts w:hint="default" w:ascii="Times New Roman" w:hAnsi="Times New Roman" w:eastAsia="宋体" w:cs="Times New Roman"/>
          <w:color w:val="auto"/>
          <w:kern w:val="2"/>
          <w:sz w:val="24"/>
          <w:szCs w:val="24"/>
          <w:vertAlign w:val="subscript"/>
          <w:lang w:val="en-US" w:eastAsia="zh-CN" w:bidi="ar"/>
        </w:rPr>
        <w:t>3</w:t>
      </w:r>
      <w:r>
        <w:rPr>
          <w:rFonts w:hint="default" w:ascii="Times New Roman" w:hAnsi="Times New Roman" w:eastAsia="宋体" w:cs="Times New Roman"/>
          <w:color w:val="auto"/>
          <w:kern w:val="2"/>
          <w:sz w:val="24"/>
          <w:szCs w:val="24"/>
          <w:lang w:val="en-US" w:eastAsia="zh-CN" w:bidi="ar"/>
        </w:rPr>
        <w:t>-N、二氧化硫、氮氧化物、颗粒物和挥发性有机物（VOCs）排放总量，具体见下表。</w:t>
      </w:r>
    </w:p>
    <w:p w14:paraId="731316C8">
      <w:pPr>
        <w:pStyle w:val="11"/>
        <w:keepNext w:val="0"/>
        <w:keepLines w:val="0"/>
        <w:widowControl w:val="0"/>
        <w:suppressLineNumbers w:val="0"/>
        <w:autoSpaceDE w:val="0"/>
        <w:autoSpaceDN/>
        <w:spacing w:before="0" w:beforeAutospacing="0" w:after="0" w:afterLines="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表</w:t>
      </w:r>
      <w:r>
        <w:rPr>
          <w:rFonts w:hint="eastAsia" w:ascii="Times New Roman" w:hAnsi="Times New Roman" w:eastAsia="宋体" w:cs="Times New Roman"/>
          <w:b/>
          <w:bCs/>
          <w:color w:val="auto"/>
          <w:kern w:val="2"/>
          <w:sz w:val="21"/>
          <w:szCs w:val="21"/>
          <w:lang w:val="en-US" w:eastAsia="zh-CN" w:bidi="ar"/>
        </w:rPr>
        <w:t>1</w:t>
      </w:r>
      <w:r>
        <w:rPr>
          <w:rFonts w:hint="default" w:ascii="Times New Roman" w:hAnsi="Times New Roman" w:eastAsia="宋体" w:cs="Times New Roman"/>
          <w:b/>
          <w:bCs/>
          <w:color w:val="auto"/>
          <w:kern w:val="2"/>
          <w:sz w:val="21"/>
          <w:szCs w:val="21"/>
          <w:lang w:val="en-US" w:eastAsia="zh-CN" w:bidi="ar"/>
        </w:rPr>
        <w:t xml:space="preserve">  </w:t>
      </w:r>
      <w:r>
        <w:rPr>
          <w:rFonts w:hint="eastAsia" w:ascii="宋体" w:hAnsi="宋体" w:eastAsia="宋体" w:cs="宋体"/>
          <w:b/>
          <w:bCs/>
          <w:color w:val="auto"/>
          <w:kern w:val="2"/>
          <w:sz w:val="21"/>
          <w:szCs w:val="21"/>
          <w:lang w:val="en-US" w:eastAsia="zh-CN" w:bidi="ar"/>
        </w:rPr>
        <w:t>实际污染物排放总量控制指标核算表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01"/>
        <w:gridCol w:w="3000"/>
        <w:gridCol w:w="2672"/>
        <w:gridCol w:w="2674"/>
      </w:tblGrid>
      <w:tr w14:paraId="7EF6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201" w:type="dxa"/>
            <w:shd w:val="clear" w:color="auto" w:fill="auto"/>
            <w:vAlign w:val="center"/>
          </w:tcPr>
          <w:p w14:paraId="4AA879E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color w:val="auto"/>
                <w:kern w:val="2"/>
                <w:sz w:val="21"/>
                <w:szCs w:val="21"/>
              </w:rPr>
            </w:pPr>
            <w:r>
              <w:rPr>
                <w:rFonts w:hint="eastAsia" w:ascii="宋体" w:hAnsi="宋体" w:eastAsia="宋体" w:cs="宋体"/>
                <w:b/>
                <w:bCs w:val="0"/>
                <w:color w:val="auto"/>
                <w:kern w:val="2"/>
                <w:sz w:val="21"/>
                <w:szCs w:val="21"/>
                <w:lang w:val="en-US" w:eastAsia="zh-CN" w:bidi="ar"/>
              </w:rPr>
              <w:t>类别</w:t>
            </w:r>
          </w:p>
        </w:tc>
        <w:tc>
          <w:tcPr>
            <w:tcW w:w="3000" w:type="dxa"/>
            <w:shd w:val="clear" w:color="auto" w:fill="auto"/>
            <w:vAlign w:val="center"/>
          </w:tcPr>
          <w:p w14:paraId="03B4E8C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color w:val="auto"/>
                <w:kern w:val="2"/>
                <w:sz w:val="21"/>
                <w:szCs w:val="21"/>
              </w:rPr>
            </w:pPr>
            <w:r>
              <w:rPr>
                <w:rFonts w:hint="eastAsia" w:ascii="宋体" w:hAnsi="宋体" w:eastAsia="宋体" w:cs="宋体"/>
                <w:b/>
                <w:bCs w:val="0"/>
                <w:color w:val="auto"/>
                <w:kern w:val="2"/>
                <w:sz w:val="21"/>
                <w:szCs w:val="21"/>
                <w:lang w:val="en-US" w:eastAsia="zh-CN" w:bidi="ar"/>
              </w:rPr>
              <w:t>总量控制指标名称</w:t>
            </w:r>
          </w:p>
        </w:tc>
        <w:tc>
          <w:tcPr>
            <w:tcW w:w="2672" w:type="dxa"/>
            <w:shd w:val="clear" w:color="auto" w:fill="auto"/>
            <w:vAlign w:val="center"/>
          </w:tcPr>
          <w:p w14:paraId="56859F7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color w:val="auto"/>
                <w:kern w:val="2"/>
                <w:sz w:val="21"/>
                <w:szCs w:val="21"/>
              </w:rPr>
            </w:pPr>
            <w:r>
              <w:rPr>
                <w:rFonts w:hint="eastAsia" w:ascii="宋体" w:hAnsi="宋体" w:eastAsia="宋体" w:cs="宋体"/>
                <w:b/>
                <w:bCs w:val="0"/>
                <w:color w:val="auto"/>
                <w:kern w:val="2"/>
                <w:sz w:val="21"/>
                <w:szCs w:val="21"/>
                <w:lang w:val="en-US" w:eastAsia="zh-CN" w:bidi="ar"/>
              </w:rPr>
              <w:t>审批排放量</w:t>
            </w:r>
          </w:p>
          <w:p w14:paraId="18E336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color w:val="auto"/>
                <w:kern w:val="2"/>
                <w:sz w:val="21"/>
                <w:szCs w:val="21"/>
              </w:rPr>
            </w:pPr>
            <w:r>
              <w:rPr>
                <w:rFonts w:hint="eastAsia" w:ascii="宋体" w:hAnsi="宋体" w:eastAsia="宋体" w:cs="宋体"/>
                <w:b/>
                <w:bCs w:val="0"/>
                <w:color w:val="auto"/>
                <w:kern w:val="2"/>
                <w:sz w:val="21"/>
                <w:szCs w:val="21"/>
                <w:lang w:val="en-US" w:eastAsia="zh-CN" w:bidi="ar"/>
              </w:rPr>
              <w:t>（</w:t>
            </w:r>
            <w:r>
              <w:rPr>
                <w:rFonts w:hint="default" w:ascii="Times New Roman" w:hAnsi="Times New Roman" w:eastAsia="宋体" w:cs="Times New Roman"/>
                <w:b/>
                <w:bCs w:val="0"/>
                <w:color w:val="auto"/>
                <w:kern w:val="2"/>
                <w:sz w:val="21"/>
                <w:szCs w:val="21"/>
                <w:lang w:val="en-US" w:eastAsia="zh-CN" w:bidi="ar"/>
              </w:rPr>
              <w:t>t/a</w:t>
            </w:r>
            <w:r>
              <w:rPr>
                <w:rFonts w:hint="eastAsia" w:ascii="宋体" w:hAnsi="宋体" w:eastAsia="宋体" w:cs="宋体"/>
                <w:b/>
                <w:bCs w:val="0"/>
                <w:color w:val="auto"/>
                <w:kern w:val="2"/>
                <w:sz w:val="21"/>
                <w:szCs w:val="21"/>
                <w:lang w:val="en-US" w:eastAsia="zh-CN" w:bidi="ar"/>
              </w:rPr>
              <w:t>）</w:t>
            </w:r>
          </w:p>
        </w:tc>
        <w:tc>
          <w:tcPr>
            <w:tcW w:w="2674" w:type="dxa"/>
            <w:shd w:val="clear" w:color="auto" w:fill="auto"/>
            <w:vAlign w:val="center"/>
          </w:tcPr>
          <w:p w14:paraId="03781A0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color w:val="auto"/>
                <w:kern w:val="2"/>
                <w:sz w:val="21"/>
                <w:szCs w:val="21"/>
              </w:rPr>
            </w:pPr>
            <w:r>
              <w:rPr>
                <w:rFonts w:hint="eastAsia" w:ascii="宋体" w:hAnsi="宋体" w:eastAsia="宋体" w:cs="宋体"/>
                <w:b/>
                <w:bCs w:val="0"/>
                <w:color w:val="auto"/>
                <w:kern w:val="2"/>
                <w:sz w:val="21"/>
                <w:szCs w:val="21"/>
                <w:lang w:val="en-US" w:eastAsia="zh-CN" w:bidi="ar"/>
              </w:rPr>
              <w:t>实际排放量</w:t>
            </w:r>
          </w:p>
          <w:p w14:paraId="3514CA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color w:val="auto"/>
                <w:kern w:val="2"/>
                <w:sz w:val="21"/>
                <w:szCs w:val="21"/>
              </w:rPr>
            </w:pPr>
            <w:r>
              <w:rPr>
                <w:rFonts w:hint="eastAsia" w:ascii="宋体" w:hAnsi="宋体" w:eastAsia="宋体" w:cs="宋体"/>
                <w:b/>
                <w:bCs w:val="0"/>
                <w:color w:val="auto"/>
                <w:kern w:val="2"/>
                <w:sz w:val="21"/>
                <w:szCs w:val="21"/>
                <w:lang w:val="en-US" w:eastAsia="zh-CN" w:bidi="ar"/>
              </w:rPr>
              <w:t>（</w:t>
            </w:r>
            <w:r>
              <w:rPr>
                <w:rFonts w:hint="default" w:ascii="Times New Roman" w:hAnsi="Times New Roman" w:eastAsia="宋体" w:cs="Times New Roman"/>
                <w:b/>
                <w:bCs w:val="0"/>
                <w:color w:val="auto"/>
                <w:kern w:val="2"/>
                <w:sz w:val="21"/>
                <w:szCs w:val="21"/>
                <w:lang w:val="en-US" w:eastAsia="zh-CN" w:bidi="ar"/>
              </w:rPr>
              <w:t>t/a</w:t>
            </w:r>
            <w:r>
              <w:rPr>
                <w:rFonts w:hint="eastAsia" w:ascii="宋体" w:hAnsi="宋体" w:eastAsia="宋体" w:cs="宋体"/>
                <w:b/>
                <w:bCs w:val="0"/>
                <w:color w:val="auto"/>
                <w:kern w:val="2"/>
                <w:sz w:val="21"/>
                <w:szCs w:val="21"/>
                <w:lang w:val="en-US" w:eastAsia="zh-CN" w:bidi="ar"/>
              </w:rPr>
              <w:t>）</w:t>
            </w:r>
          </w:p>
        </w:tc>
      </w:tr>
      <w:tr w14:paraId="0717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201" w:type="dxa"/>
            <w:vMerge w:val="restart"/>
            <w:shd w:val="clear" w:color="auto" w:fill="auto"/>
            <w:vAlign w:val="center"/>
          </w:tcPr>
          <w:p w14:paraId="2BEBF3F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b w:val="0"/>
                <w:bCs w:val="0"/>
                <w:color w:val="auto"/>
                <w:kern w:val="2"/>
                <w:sz w:val="21"/>
                <w:szCs w:val="21"/>
                <w:lang w:val="en-US" w:eastAsia="zh-CN" w:bidi="ar"/>
              </w:rPr>
              <w:t>废水</w:t>
            </w:r>
          </w:p>
        </w:tc>
        <w:tc>
          <w:tcPr>
            <w:tcW w:w="3000" w:type="dxa"/>
            <w:shd w:val="clear" w:color="auto" w:fill="auto"/>
            <w:vAlign w:val="center"/>
          </w:tcPr>
          <w:p w14:paraId="4467D44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rPr>
            </w:pPr>
            <w:r>
              <w:rPr>
                <w:rFonts w:hint="eastAsia" w:ascii="宋体" w:hAnsi="宋体" w:eastAsia="宋体" w:cs="宋体"/>
                <w:b w:val="0"/>
                <w:bCs w:val="0"/>
                <w:color w:val="auto"/>
                <w:kern w:val="2"/>
                <w:sz w:val="21"/>
                <w:szCs w:val="21"/>
                <w:lang w:val="en-US" w:eastAsia="zh-CN" w:bidi="ar"/>
              </w:rPr>
              <w:t>水量</w:t>
            </w:r>
          </w:p>
        </w:tc>
        <w:tc>
          <w:tcPr>
            <w:tcW w:w="2672" w:type="dxa"/>
            <w:shd w:val="clear" w:color="auto" w:fill="auto"/>
            <w:vAlign w:val="center"/>
          </w:tcPr>
          <w:p w14:paraId="3C104819">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color w:val="auto"/>
                <w:kern w:val="2"/>
                <w:sz w:val="21"/>
                <w:szCs w:val="22"/>
                <w:highlight w:val="none"/>
                <w:lang w:val="en-US" w:eastAsia="zh-CN" w:bidi="ar-SA"/>
              </w:rPr>
              <w:t>2400</w:t>
            </w:r>
          </w:p>
        </w:tc>
        <w:tc>
          <w:tcPr>
            <w:tcW w:w="2674" w:type="dxa"/>
            <w:shd w:val="clear" w:color="auto" w:fill="auto"/>
            <w:vAlign w:val="center"/>
          </w:tcPr>
          <w:p w14:paraId="3A9E28DB">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sz w:val="21"/>
                <w:szCs w:val="21"/>
                <w:highlight w:val="none"/>
                <w:lang w:val="en-US" w:eastAsia="zh-CN"/>
              </w:rPr>
              <w:t>2400</w:t>
            </w:r>
          </w:p>
        </w:tc>
      </w:tr>
      <w:tr w14:paraId="0A93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201" w:type="dxa"/>
            <w:vMerge w:val="continue"/>
            <w:shd w:val="clear" w:color="auto" w:fill="auto"/>
            <w:vAlign w:val="center"/>
          </w:tcPr>
          <w:p w14:paraId="5E14819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3000" w:type="dxa"/>
            <w:shd w:val="clear" w:color="auto" w:fill="auto"/>
            <w:vAlign w:val="center"/>
          </w:tcPr>
          <w:p w14:paraId="5FDBEFD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lang w:val="en-US" w:eastAsia="zh-CN" w:bidi="ar"/>
              </w:rPr>
              <w:t>COD</w:t>
            </w:r>
            <w:r>
              <w:rPr>
                <w:rFonts w:hint="default" w:ascii="Times New Roman" w:hAnsi="Times New Roman" w:eastAsia="宋体" w:cs="Times New Roman"/>
                <w:b w:val="0"/>
                <w:bCs w:val="0"/>
                <w:color w:val="auto"/>
                <w:kern w:val="2"/>
                <w:sz w:val="21"/>
                <w:szCs w:val="21"/>
                <w:vertAlign w:val="subscript"/>
                <w:lang w:val="en-US" w:eastAsia="zh-CN" w:bidi="ar"/>
              </w:rPr>
              <w:t>Cr</w:t>
            </w:r>
          </w:p>
        </w:tc>
        <w:tc>
          <w:tcPr>
            <w:tcW w:w="2672" w:type="dxa"/>
            <w:shd w:val="clear" w:color="auto" w:fill="auto"/>
            <w:vAlign w:val="center"/>
          </w:tcPr>
          <w:p w14:paraId="1DFA994B">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color w:val="auto"/>
                <w:kern w:val="2"/>
                <w:sz w:val="21"/>
                <w:szCs w:val="22"/>
                <w:highlight w:val="none"/>
                <w:lang w:val="en-US" w:eastAsia="zh-CN" w:bidi="ar-SA"/>
              </w:rPr>
              <w:t>0.120</w:t>
            </w:r>
          </w:p>
        </w:tc>
        <w:tc>
          <w:tcPr>
            <w:tcW w:w="2674" w:type="dxa"/>
            <w:shd w:val="clear" w:color="auto" w:fill="auto"/>
            <w:vAlign w:val="center"/>
          </w:tcPr>
          <w:p w14:paraId="1F166518">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color w:val="auto"/>
                <w:kern w:val="2"/>
                <w:sz w:val="21"/>
                <w:szCs w:val="22"/>
                <w:highlight w:val="none"/>
                <w:lang w:val="en-US" w:eastAsia="zh-CN" w:bidi="ar-SA"/>
              </w:rPr>
              <w:t>0.120</w:t>
            </w:r>
          </w:p>
        </w:tc>
      </w:tr>
      <w:tr w14:paraId="265F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1" w:type="dxa"/>
            <w:vMerge w:val="continue"/>
            <w:shd w:val="clear" w:color="auto" w:fill="auto"/>
            <w:vAlign w:val="center"/>
          </w:tcPr>
          <w:p w14:paraId="2C1D415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3000" w:type="dxa"/>
            <w:shd w:val="clear" w:color="auto" w:fill="auto"/>
            <w:vAlign w:val="center"/>
          </w:tcPr>
          <w:p w14:paraId="164DBA2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lang w:val="en-US" w:eastAsia="zh-CN" w:bidi="ar"/>
              </w:rPr>
              <w:t>NH</w:t>
            </w:r>
            <w:r>
              <w:rPr>
                <w:rFonts w:hint="default" w:ascii="Times New Roman" w:hAnsi="Times New Roman" w:eastAsia="宋体" w:cs="Times New Roman"/>
                <w:b w:val="0"/>
                <w:bCs w:val="0"/>
                <w:color w:val="auto"/>
                <w:kern w:val="2"/>
                <w:sz w:val="21"/>
                <w:szCs w:val="21"/>
                <w:vertAlign w:val="subscript"/>
                <w:lang w:val="en-US" w:eastAsia="zh-CN" w:bidi="ar"/>
              </w:rPr>
              <w:t>3</w:t>
            </w:r>
            <w:r>
              <w:rPr>
                <w:rFonts w:hint="default" w:ascii="Times New Roman" w:hAnsi="Times New Roman" w:eastAsia="宋体" w:cs="Times New Roman"/>
                <w:b w:val="0"/>
                <w:bCs w:val="0"/>
                <w:color w:val="auto"/>
                <w:kern w:val="2"/>
                <w:sz w:val="21"/>
                <w:szCs w:val="21"/>
                <w:lang w:val="en-US" w:eastAsia="zh-CN" w:bidi="ar"/>
              </w:rPr>
              <w:t>-N</w:t>
            </w:r>
          </w:p>
        </w:tc>
        <w:tc>
          <w:tcPr>
            <w:tcW w:w="2672" w:type="dxa"/>
            <w:shd w:val="clear" w:color="auto" w:fill="auto"/>
            <w:vAlign w:val="center"/>
          </w:tcPr>
          <w:p w14:paraId="7B97F45D">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color w:val="auto"/>
                <w:kern w:val="2"/>
                <w:sz w:val="21"/>
                <w:szCs w:val="22"/>
                <w:highlight w:val="none"/>
                <w:lang w:val="en-US" w:eastAsia="zh-CN" w:bidi="ar-SA"/>
              </w:rPr>
              <w:t>0.012</w:t>
            </w:r>
          </w:p>
        </w:tc>
        <w:tc>
          <w:tcPr>
            <w:tcW w:w="2674" w:type="dxa"/>
            <w:shd w:val="clear" w:color="auto" w:fill="auto"/>
            <w:vAlign w:val="center"/>
          </w:tcPr>
          <w:p w14:paraId="452AF069">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color w:val="auto"/>
                <w:kern w:val="2"/>
                <w:sz w:val="21"/>
                <w:szCs w:val="22"/>
                <w:highlight w:val="none"/>
                <w:lang w:val="en-US" w:eastAsia="zh-CN" w:bidi="ar-SA"/>
              </w:rPr>
              <w:t>0.012</w:t>
            </w:r>
          </w:p>
        </w:tc>
      </w:tr>
      <w:tr w14:paraId="5FEB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1" w:type="dxa"/>
            <w:vMerge w:val="restart"/>
            <w:shd w:val="clear" w:color="auto" w:fill="auto"/>
            <w:vAlign w:val="center"/>
          </w:tcPr>
          <w:p w14:paraId="0816B8A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废气</w:t>
            </w:r>
          </w:p>
        </w:tc>
        <w:tc>
          <w:tcPr>
            <w:tcW w:w="3000" w:type="dxa"/>
            <w:shd w:val="clear" w:color="auto" w:fill="auto"/>
            <w:vAlign w:val="center"/>
          </w:tcPr>
          <w:p w14:paraId="1591B6F4">
            <w:pPr>
              <w:keepNext w:val="0"/>
              <w:keepLines w:val="0"/>
              <w:suppressLineNumbers w:val="0"/>
              <w:shd w:val="clear"/>
              <w:tabs>
                <w:tab w:val="left" w:pos="4830"/>
              </w:tabs>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二氧化硫</w:t>
            </w:r>
          </w:p>
        </w:tc>
        <w:tc>
          <w:tcPr>
            <w:tcW w:w="2672" w:type="dxa"/>
            <w:shd w:val="clear" w:color="auto" w:fill="auto"/>
            <w:vAlign w:val="center"/>
          </w:tcPr>
          <w:p w14:paraId="2A40FD92">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2"/>
                <w:highlight w:val="none"/>
                <w:lang w:val="en-US" w:eastAsia="zh-CN" w:bidi="ar-SA"/>
              </w:rPr>
              <w:t>1.539</w:t>
            </w:r>
          </w:p>
        </w:tc>
        <w:tc>
          <w:tcPr>
            <w:tcW w:w="2674" w:type="dxa"/>
            <w:shd w:val="clear" w:color="auto" w:fill="auto"/>
            <w:vAlign w:val="center"/>
          </w:tcPr>
          <w:p w14:paraId="3CDB93D6">
            <w:pPr>
              <w:keepNext w:val="0"/>
              <w:keepLines w:val="0"/>
              <w:suppressLineNumbers w:val="0"/>
              <w:shd w:val="clear"/>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b w:val="0"/>
                <w:bCs w:val="0"/>
                <w:color w:val="auto"/>
                <w:sz w:val="21"/>
                <w:szCs w:val="21"/>
                <w:highlight w:val="none"/>
                <w:lang w:val="en-US" w:eastAsia="zh-CN"/>
              </w:rPr>
              <w:t>0.057</w:t>
            </w:r>
          </w:p>
        </w:tc>
      </w:tr>
      <w:tr w14:paraId="4F7D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201" w:type="dxa"/>
            <w:vMerge w:val="continue"/>
            <w:shd w:val="clear" w:color="auto" w:fill="auto"/>
            <w:vAlign w:val="center"/>
          </w:tcPr>
          <w:p w14:paraId="478323C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0"/>
                <w:szCs w:val="20"/>
              </w:rPr>
            </w:pPr>
          </w:p>
        </w:tc>
        <w:tc>
          <w:tcPr>
            <w:tcW w:w="3000" w:type="dxa"/>
            <w:shd w:val="clear" w:color="auto" w:fill="auto"/>
            <w:vAlign w:val="center"/>
          </w:tcPr>
          <w:p w14:paraId="1D4E1513">
            <w:pPr>
              <w:keepNext w:val="0"/>
              <w:keepLines w:val="0"/>
              <w:suppressLineNumbers w:val="0"/>
              <w:shd w:val="clear"/>
              <w:tabs>
                <w:tab w:val="left" w:pos="4830"/>
              </w:tabs>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氮氧化物</w:t>
            </w:r>
          </w:p>
        </w:tc>
        <w:tc>
          <w:tcPr>
            <w:tcW w:w="2672" w:type="dxa"/>
            <w:shd w:val="clear" w:color="auto" w:fill="auto"/>
            <w:vAlign w:val="center"/>
          </w:tcPr>
          <w:p w14:paraId="05644614">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2"/>
                <w:highlight w:val="none"/>
                <w:lang w:val="en-US" w:eastAsia="zh-CN" w:bidi="ar-SA"/>
              </w:rPr>
              <w:t>4.983</w:t>
            </w:r>
          </w:p>
        </w:tc>
        <w:tc>
          <w:tcPr>
            <w:tcW w:w="2674" w:type="dxa"/>
            <w:shd w:val="clear" w:color="auto" w:fill="auto"/>
            <w:vAlign w:val="center"/>
          </w:tcPr>
          <w:p w14:paraId="4865640D">
            <w:pPr>
              <w:keepNext w:val="0"/>
              <w:keepLines w:val="0"/>
              <w:suppressLineNumbers w:val="0"/>
              <w:shd w:val="clear"/>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b w:val="0"/>
                <w:bCs w:val="0"/>
                <w:color w:val="auto"/>
                <w:sz w:val="21"/>
                <w:szCs w:val="21"/>
                <w:highlight w:val="none"/>
                <w:lang w:val="en-US" w:eastAsia="zh-CN"/>
              </w:rPr>
              <w:t>0.539</w:t>
            </w:r>
          </w:p>
        </w:tc>
      </w:tr>
      <w:tr w14:paraId="41F2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201" w:type="dxa"/>
            <w:vMerge w:val="continue"/>
            <w:shd w:val="clear" w:color="auto" w:fill="auto"/>
            <w:vAlign w:val="center"/>
          </w:tcPr>
          <w:p w14:paraId="494D982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0"/>
                <w:szCs w:val="20"/>
              </w:rPr>
            </w:pPr>
          </w:p>
        </w:tc>
        <w:tc>
          <w:tcPr>
            <w:tcW w:w="3000" w:type="dxa"/>
            <w:shd w:val="clear" w:color="auto" w:fill="auto"/>
            <w:vAlign w:val="center"/>
          </w:tcPr>
          <w:p w14:paraId="3CE53E23">
            <w:pPr>
              <w:keepNext w:val="0"/>
              <w:keepLines w:val="0"/>
              <w:suppressLineNumbers w:val="0"/>
              <w:shd w:val="clear"/>
              <w:tabs>
                <w:tab w:val="left" w:pos="4830"/>
              </w:tabs>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颗粒物</w:t>
            </w:r>
          </w:p>
        </w:tc>
        <w:tc>
          <w:tcPr>
            <w:tcW w:w="2672" w:type="dxa"/>
            <w:shd w:val="clear" w:color="auto" w:fill="auto"/>
            <w:vAlign w:val="center"/>
          </w:tcPr>
          <w:p w14:paraId="43231068">
            <w:pPr>
              <w:keepNext w:val="0"/>
              <w:keepLines w:val="0"/>
              <w:suppressLineNumbers w:val="0"/>
              <w:shd w:val="clear"/>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2"/>
                <w:highlight w:val="none"/>
                <w:lang w:val="en-US" w:eastAsia="zh-CN" w:bidi="ar-SA"/>
              </w:rPr>
              <w:t>1.168</w:t>
            </w:r>
          </w:p>
        </w:tc>
        <w:tc>
          <w:tcPr>
            <w:tcW w:w="2674" w:type="dxa"/>
            <w:shd w:val="clear" w:color="auto" w:fill="auto"/>
            <w:vAlign w:val="center"/>
          </w:tcPr>
          <w:p w14:paraId="53F88682">
            <w:pPr>
              <w:keepNext w:val="0"/>
              <w:keepLines w:val="0"/>
              <w:suppressLineNumbers w:val="0"/>
              <w:shd w:val="clear"/>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b w:val="0"/>
                <w:bCs w:val="0"/>
                <w:color w:val="auto"/>
                <w:sz w:val="21"/>
                <w:szCs w:val="21"/>
                <w:highlight w:val="none"/>
                <w:lang w:val="en-US" w:eastAsia="zh-CN"/>
              </w:rPr>
              <w:t>0.019</w:t>
            </w:r>
          </w:p>
        </w:tc>
      </w:tr>
      <w:tr w14:paraId="298B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547" w:type="dxa"/>
            <w:gridSpan w:val="4"/>
            <w:shd w:val="clear" w:color="auto" w:fill="auto"/>
            <w:vAlign w:val="center"/>
          </w:tcPr>
          <w:p w14:paraId="0585E4D0">
            <w:pPr>
              <w:keepNext w:val="0"/>
              <w:keepLines w:val="0"/>
              <w:widowControl w:val="0"/>
              <w:suppressLineNumbers w:val="0"/>
              <w:spacing w:before="0" w:beforeAutospacing="0" w:after="0" w:afterAutospacing="0"/>
              <w:ind w:left="0" w:right="0" w:rightChars="0" w:firstLine="840" w:firstLineChars="400"/>
              <w:jc w:val="both"/>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lang w:val="en-US" w:eastAsia="zh-CN" w:bidi="ar"/>
              </w:rPr>
              <w:t>注：验收监测期间，生产负荷为100%。</w:t>
            </w:r>
          </w:p>
        </w:tc>
      </w:tr>
    </w:tbl>
    <w:p w14:paraId="290946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zh-CN" w:bidi="ar"/>
        </w:rPr>
        <w:t>根据上表可知，本项目实际主要污染物排放总量控制指标COD</w:t>
      </w:r>
      <w:r>
        <w:rPr>
          <w:rFonts w:hint="default" w:ascii="Times New Roman" w:hAnsi="Times New Roman" w:eastAsia="宋体" w:cs="Times New Roman"/>
          <w:color w:val="auto"/>
          <w:kern w:val="2"/>
          <w:sz w:val="24"/>
          <w:szCs w:val="24"/>
          <w:vertAlign w:val="subscript"/>
          <w:lang w:val="en-US" w:eastAsia="zh-CN" w:bidi="ar"/>
        </w:rPr>
        <w:t>Cr</w:t>
      </w:r>
      <w:r>
        <w:rPr>
          <w:rFonts w:hint="default" w:ascii="Times New Roman" w:hAnsi="Times New Roman" w:eastAsia="宋体" w:cs="Times New Roman"/>
          <w:color w:val="auto"/>
          <w:kern w:val="2"/>
          <w:sz w:val="24"/>
          <w:szCs w:val="24"/>
          <w:lang w:val="en-US" w:eastAsia="zh-CN" w:bidi="ar"/>
        </w:rPr>
        <w:t>、NH</w:t>
      </w:r>
      <w:r>
        <w:rPr>
          <w:rFonts w:hint="default" w:ascii="Times New Roman" w:hAnsi="Times New Roman" w:eastAsia="宋体" w:cs="Times New Roman"/>
          <w:color w:val="auto"/>
          <w:kern w:val="2"/>
          <w:sz w:val="24"/>
          <w:szCs w:val="24"/>
          <w:vertAlign w:val="subscript"/>
          <w:lang w:val="en-US" w:eastAsia="zh-CN" w:bidi="ar"/>
        </w:rPr>
        <w:t>3</w:t>
      </w:r>
      <w:r>
        <w:rPr>
          <w:rFonts w:hint="default" w:ascii="Times New Roman" w:hAnsi="Times New Roman" w:eastAsia="宋体" w:cs="Times New Roman"/>
          <w:color w:val="auto"/>
          <w:kern w:val="2"/>
          <w:sz w:val="24"/>
          <w:szCs w:val="24"/>
          <w:lang w:val="en-US" w:eastAsia="zh-CN" w:bidi="ar"/>
        </w:rPr>
        <w:t>-N</w:t>
      </w:r>
      <w:r>
        <w:rPr>
          <w:rFonts w:hint="eastAsia" w:ascii="Times New Roman" w:hAnsi="Times New Roman" w:cs="Times New Roman"/>
          <w:color w:val="auto"/>
          <w:kern w:val="2"/>
          <w:sz w:val="24"/>
          <w:szCs w:val="24"/>
          <w:lang w:val="en-US" w:eastAsia="zh-CN" w:bidi="ar"/>
        </w:rPr>
        <w:t>、二氧化硫、氮氧化物和颗粒物</w:t>
      </w:r>
      <w:r>
        <w:rPr>
          <w:rFonts w:hint="default" w:ascii="Times New Roman" w:hAnsi="Times New Roman" w:eastAsia="宋体" w:cs="Times New Roman"/>
          <w:color w:val="auto"/>
          <w:kern w:val="2"/>
          <w:sz w:val="24"/>
          <w:szCs w:val="24"/>
          <w:lang w:val="en-US" w:eastAsia="zh-CN" w:bidi="ar"/>
        </w:rPr>
        <w:t>均在环评审批的总量控制指标范围内。</w:t>
      </w:r>
    </w:p>
    <w:p w14:paraId="2E787B75">
      <w:pPr>
        <w:spacing w:line="360" w:lineRule="auto"/>
        <w:ind w:firstLine="482" w:firstLineChars="200"/>
        <w:outlineLvl w:val="0"/>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五、工程建设对环境的影响</w:t>
      </w:r>
    </w:p>
    <w:p w14:paraId="7B17DFCF">
      <w:pPr>
        <w:spacing w:line="360" w:lineRule="auto"/>
        <w:ind w:firstLine="480" w:firstLineChars="200"/>
        <w:rPr>
          <w:rFonts w:hint="default" w:ascii="Times New Roman" w:hAnsi="Times New Roman" w:eastAsia="宋体" w:cs="Times New Roman"/>
          <w:color w:val="auto"/>
          <w:kern w:val="0"/>
          <w:sz w:val="24"/>
          <w:highlight w:val="none"/>
        </w:rPr>
      </w:pPr>
      <w:r>
        <w:rPr>
          <w:rFonts w:ascii="Times New Roman" w:hAnsi="Times New Roman" w:eastAsia="宋体"/>
          <w:color w:val="auto"/>
          <w:kern w:val="0"/>
          <w:sz w:val="24"/>
          <w:szCs w:val="24"/>
          <w:highlight w:val="none"/>
        </w:rPr>
        <w:t>依据《建设项目竣工环境保护验收暂行办法</w:t>
      </w:r>
      <w:r>
        <w:rPr>
          <w:rFonts w:hint="eastAsia" w:ascii="Times New Roman" w:hAnsi="Times New Roman"/>
          <w:color w:val="auto"/>
          <w:kern w:val="0"/>
          <w:sz w:val="24"/>
          <w:szCs w:val="24"/>
          <w:highlight w:val="none"/>
          <w:lang w:eastAsia="zh-CN"/>
        </w:rPr>
        <w:t>》《</w:t>
      </w:r>
      <w:r>
        <w:rPr>
          <w:rFonts w:hint="eastAsia" w:ascii="Times New Roman" w:hAnsi="Times New Roman" w:cs="Times New Roman"/>
          <w:b w:val="0"/>
          <w:bCs w:val="0"/>
          <w:color w:val="auto"/>
          <w:sz w:val="24"/>
          <w:szCs w:val="24"/>
          <w:highlight w:val="none"/>
          <w:lang w:val="en-US" w:eastAsia="zh-CN"/>
        </w:rPr>
        <w:t>安徽金鼎盛机械有限公司年产100万件农牧机械配件项目</w:t>
      </w:r>
      <w:r>
        <w:rPr>
          <w:rFonts w:hint="eastAsia" w:ascii="Times New Roman" w:hAnsi="Times New Roman"/>
          <w:color w:val="auto"/>
          <w:kern w:val="0"/>
          <w:sz w:val="24"/>
          <w:szCs w:val="24"/>
          <w:highlight w:val="none"/>
          <w:lang w:val="en-US" w:eastAsia="zh-CN"/>
        </w:rPr>
        <w:t>竣工环境保护</w:t>
      </w:r>
      <w:r>
        <w:rPr>
          <w:rFonts w:ascii="Times New Roman" w:hAnsi="Times New Roman" w:eastAsia="宋体"/>
          <w:color w:val="auto"/>
          <w:kern w:val="0"/>
          <w:sz w:val="24"/>
          <w:szCs w:val="24"/>
          <w:highlight w:val="none"/>
        </w:rPr>
        <w:t>验收监测报告表》等资料及环境保护设施现场检查情况，</w:t>
      </w:r>
      <w:r>
        <w:rPr>
          <w:rFonts w:hint="eastAsia" w:ascii="Times New Roman" w:hAnsi="Times New Roman" w:cs="Times New Roman"/>
          <w:color w:val="auto"/>
          <w:kern w:val="0"/>
          <w:sz w:val="24"/>
          <w:highlight w:val="none"/>
          <w:lang w:val="en-US" w:eastAsia="zh-CN"/>
        </w:rPr>
        <w:t>安徽金鼎盛机械有限公司年产100万件农牧机械配件项目</w:t>
      </w:r>
      <w:r>
        <w:rPr>
          <w:rFonts w:ascii="Times New Roman" w:hAnsi="Times New Roman" w:eastAsia="宋体"/>
          <w:color w:val="auto"/>
          <w:kern w:val="0"/>
          <w:sz w:val="24"/>
          <w:szCs w:val="24"/>
          <w:highlight w:val="none"/>
        </w:rPr>
        <w:t>环保手续齐全，污染防治措施基本按照</w:t>
      </w:r>
      <w:r>
        <w:rPr>
          <w:rFonts w:hint="eastAsia" w:ascii="Times New Roman" w:hAnsi="Times New Roman" w:eastAsia="宋体"/>
          <w:color w:val="auto"/>
          <w:kern w:val="0"/>
          <w:sz w:val="24"/>
          <w:szCs w:val="24"/>
          <w:highlight w:val="none"/>
          <w:lang w:val="en-US" w:eastAsia="zh-CN"/>
        </w:rPr>
        <w:t>环境影响</w:t>
      </w:r>
      <w:r>
        <w:rPr>
          <w:rFonts w:hint="eastAsia" w:ascii="Times New Roman" w:hAnsi="Times New Roman"/>
          <w:color w:val="auto"/>
          <w:kern w:val="0"/>
          <w:sz w:val="24"/>
          <w:szCs w:val="24"/>
          <w:highlight w:val="none"/>
          <w:lang w:val="en-US" w:eastAsia="zh-CN"/>
        </w:rPr>
        <w:t>报告表及</w:t>
      </w:r>
      <w:bookmarkStart w:id="5" w:name="OLE_LINK2"/>
      <w:r>
        <w:rPr>
          <w:rFonts w:hint="eastAsia" w:ascii="Times New Roman" w:hAnsi="Times New Roman" w:eastAsia="宋体"/>
          <w:color w:val="auto"/>
          <w:kern w:val="0"/>
          <w:sz w:val="24"/>
          <w:szCs w:val="24"/>
          <w:highlight w:val="none"/>
          <w:lang w:val="en-US" w:eastAsia="zh-CN"/>
        </w:rPr>
        <w:t>批复文件</w:t>
      </w:r>
      <w:bookmarkEnd w:id="5"/>
      <w:r>
        <w:rPr>
          <w:rFonts w:ascii="Times New Roman" w:hAnsi="Times New Roman" w:eastAsia="宋体"/>
          <w:color w:val="auto"/>
          <w:kern w:val="0"/>
          <w:sz w:val="24"/>
          <w:szCs w:val="24"/>
          <w:highlight w:val="none"/>
        </w:rPr>
        <w:t>要求落实；经验收监测，废气、废水、噪声</w:t>
      </w:r>
      <w:r>
        <w:rPr>
          <w:rFonts w:hint="eastAsia" w:ascii="Times New Roman" w:hAnsi="Times New Roman"/>
          <w:color w:val="auto"/>
          <w:kern w:val="0"/>
          <w:sz w:val="24"/>
          <w:szCs w:val="24"/>
          <w:highlight w:val="none"/>
          <w:lang w:val="en-US" w:eastAsia="zh-CN"/>
        </w:rPr>
        <w:t>数据均能</w:t>
      </w:r>
      <w:r>
        <w:rPr>
          <w:rFonts w:ascii="Times New Roman" w:hAnsi="Times New Roman" w:eastAsia="宋体"/>
          <w:color w:val="auto"/>
          <w:kern w:val="0"/>
          <w:sz w:val="24"/>
          <w:szCs w:val="24"/>
          <w:highlight w:val="none"/>
        </w:rPr>
        <w:t>达标，固体废物能得到妥善处置，因此该项目符合申请建设项目竣工环境保护自主验收条件项目，不存在《建设项目竣工环境保护验收暂行办法》第八条中所列验收不合格的情形，符合竣工环境保护验收条件，验收结论为合格。</w:t>
      </w:r>
    </w:p>
    <w:p w14:paraId="6482E44E">
      <w:pPr>
        <w:spacing w:line="360" w:lineRule="auto"/>
        <w:ind w:firstLine="482" w:firstLineChars="200"/>
        <w:outlineLvl w:val="0"/>
        <w:rPr>
          <w:rFonts w:hint="default" w:ascii="Times New Roman" w:hAnsi="Times New Roman" w:eastAsia="宋体" w:cs="Times New Roman"/>
          <w:b/>
          <w:color w:val="auto"/>
          <w:kern w:val="0"/>
          <w:sz w:val="24"/>
          <w:highlight w:val="none"/>
        </w:rPr>
      </w:pPr>
      <w:r>
        <w:rPr>
          <w:rFonts w:hint="eastAsia" w:ascii="Times New Roman" w:hAnsi="Times New Roman" w:cs="Times New Roman"/>
          <w:b/>
          <w:color w:val="auto"/>
          <w:kern w:val="0"/>
          <w:sz w:val="24"/>
          <w:highlight w:val="none"/>
          <w:lang w:val="en-US" w:eastAsia="zh-CN"/>
        </w:rPr>
        <w:t>六</w:t>
      </w:r>
      <w:r>
        <w:rPr>
          <w:rFonts w:hint="default" w:ascii="Times New Roman" w:hAnsi="Times New Roman" w:eastAsia="宋体" w:cs="Times New Roman"/>
          <w:b/>
          <w:color w:val="auto"/>
          <w:kern w:val="0"/>
          <w:sz w:val="24"/>
          <w:highlight w:val="none"/>
        </w:rPr>
        <w:t>、后续要求</w:t>
      </w:r>
    </w:p>
    <w:p w14:paraId="7C4B4607">
      <w:pPr>
        <w:spacing w:line="360" w:lineRule="auto"/>
        <w:ind w:firstLine="424" w:firstLineChars="177"/>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（一）完善生产设施和环保设施标识标牌，完善企业环保管理制度，完善各类台账建设。</w:t>
      </w:r>
    </w:p>
    <w:p w14:paraId="5D57F4E6">
      <w:pPr>
        <w:spacing w:line="360" w:lineRule="auto"/>
        <w:ind w:firstLine="424" w:firstLineChars="177"/>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（二）进一步加强对</w:t>
      </w:r>
      <w:r>
        <w:rPr>
          <w:rFonts w:hint="default" w:ascii="Times New Roman" w:hAnsi="Times New Roman" w:eastAsia="宋体"/>
          <w:color w:val="auto"/>
          <w:kern w:val="0"/>
          <w:sz w:val="24"/>
          <w:highlight w:val="none"/>
          <w:lang w:val="en-US" w:eastAsia="zh-CN"/>
        </w:rPr>
        <w:t>颗粒物</w:t>
      </w:r>
      <w:r>
        <w:rPr>
          <w:rFonts w:hint="eastAsia" w:ascii="Times New Roman" w:hAnsi="Times New Roman"/>
          <w:color w:val="auto"/>
          <w:kern w:val="0"/>
          <w:sz w:val="24"/>
          <w:highlight w:val="none"/>
          <w:lang w:val="en-US" w:eastAsia="zh-CN"/>
        </w:rPr>
        <w:t>、二氧化硫、氮氧化物等</w:t>
      </w:r>
      <w:r>
        <w:rPr>
          <w:rFonts w:ascii="Times New Roman" w:hAnsi="Times New Roman" w:eastAsia="宋体"/>
          <w:color w:val="auto"/>
          <w:kern w:val="0"/>
          <w:sz w:val="24"/>
          <w:highlight w:val="none"/>
        </w:rPr>
        <w:t>处理设施的日常管理和维护。</w:t>
      </w:r>
    </w:p>
    <w:p w14:paraId="2D5F9654">
      <w:pPr>
        <w:pStyle w:val="6"/>
        <w:spacing w:line="360" w:lineRule="auto"/>
        <w:ind w:left="0" w:firstLine="405" w:firstLineChars="169"/>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w:t>
      </w:r>
      <w:r>
        <w:rPr>
          <w:rFonts w:hint="eastAsia" w:ascii="Times New Roman" w:hAnsi="Times New Roman" w:eastAsia="宋体"/>
          <w:color w:val="auto"/>
          <w:kern w:val="0"/>
          <w:sz w:val="24"/>
          <w:highlight w:val="none"/>
          <w:lang w:val="en-US" w:eastAsia="zh-CN"/>
        </w:rPr>
        <w:t>三</w:t>
      </w:r>
      <w:r>
        <w:rPr>
          <w:rFonts w:ascii="Times New Roman" w:hAnsi="Times New Roman" w:eastAsia="宋体"/>
          <w:color w:val="auto"/>
          <w:kern w:val="0"/>
          <w:sz w:val="24"/>
          <w:highlight w:val="none"/>
        </w:rPr>
        <w:t>）建议企业加强日常环保管理和环境风险防范与应急事件处置能力，并开展演练。</w:t>
      </w:r>
    </w:p>
    <w:p w14:paraId="629D57B5">
      <w:pPr>
        <w:spacing w:line="360" w:lineRule="auto"/>
        <w:ind w:firstLine="482" w:firstLineChars="200"/>
        <w:outlineLvl w:val="0"/>
        <w:rPr>
          <w:rFonts w:hint="eastAsia" w:ascii="Times New Roman" w:hAnsi="Times New Roman" w:eastAsia="宋体" w:cs="Times New Roman"/>
          <w:b/>
          <w:color w:val="auto"/>
          <w:kern w:val="0"/>
          <w:sz w:val="24"/>
          <w:highlight w:val="none"/>
          <w:lang w:val="en-US" w:eastAsia="zh-CN"/>
        </w:rPr>
      </w:pPr>
      <w:r>
        <w:rPr>
          <w:rFonts w:hint="eastAsia" w:ascii="Times New Roman" w:hAnsi="Times New Roman" w:cs="Times New Roman"/>
          <w:b/>
          <w:color w:val="auto"/>
          <w:kern w:val="0"/>
          <w:sz w:val="24"/>
          <w:highlight w:val="none"/>
          <w:lang w:val="en-US" w:eastAsia="zh-CN"/>
        </w:rPr>
        <w:t>七</w:t>
      </w:r>
      <w:r>
        <w:rPr>
          <w:rFonts w:hint="default" w:ascii="Times New Roman" w:hAnsi="Times New Roman" w:eastAsia="宋体" w:cs="Times New Roman"/>
          <w:b/>
          <w:color w:val="auto"/>
          <w:kern w:val="0"/>
          <w:sz w:val="24"/>
          <w:highlight w:val="none"/>
        </w:rPr>
        <w:t>、验收人员</w:t>
      </w:r>
      <w:r>
        <w:rPr>
          <w:rFonts w:hint="eastAsia" w:ascii="Times New Roman" w:hAnsi="Times New Roman" w:cs="Times New Roman"/>
          <w:b/>
          <w:color w:val="auto"/>
          <w:kern w:val="0"/>
          <w:sz w:val="24"/>
          <w:highlight w:val="none"/>
          <w:lang w:val="en-US" w:eastAsia="zh-CN"/>
        </w:rPr>
        <w:t>信息</w:t>
      </w:r>
    </w:p>
    <w:p w14:paraId="6C665AB2">
      <w:pPr>
        <w:spacing w:line="360" w:lineRule="auto"/>
        <w:ind w:firstLine="480" w:firstLineChars="200"/>
        <w:jc w:val="both"/>
        <w:rPr>
          <w:rFonts w:hint="eastAsia" w:ascii="Times New Roman" w:hAnsi="Times New Roman" w:cs="Times New Roman"/>
          <w:b w:val="0"/>
          <w:bCs w:val="0"/>
          <w:color w:val="auto"/>
          <w:sz w:val="24"/>
          <w:szCs w:val="24"/>
          <w:highlight w:val="none"/>
          <w:lang w:eastAsia="zh-CN"/>
        </w:rPr>
      </w:pPr>
      <w:r>
        <w:rPr>
          <w:rFonts w:hint="eastAsia" w:ascii="Times New Roman" w:hAnsi="Times New Roman" w:cs="Times New Roman"/>
          <w:b w:val="0"/>
          <w:bCs w:val="0"/>
          <w:color w:val="auto"/>
          <w:sz w:val="24"/>
          <w:szCs w:val="24"/>
          <w:highlight w:val="none"/>
          <w:lang w:eastAsia="zh-CN"/>
        </w:rPr>
        <w:t>验收工作组成员名单及信息附后。</w:t>
      </w:r>
    </w:p>
    <w:p w14:paraId="59D96C20">
      <w:pPr>
        <w:spacing w:line="360" w:lineRule="auto"/>
        <w:ind w:firstLine="480" w:firstLineChars="200"/>
        <w:jc w:val="right"/>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安徽金鼎盛机械有限公司</w:t>
      </w:r>
    </w:p>
    <w:p w14:paraId="570E9C2C">
      <w:pPr>
        <w:spacing w:line="360" w:lineRule="auto"/>
        <w:ind w:firstLine="480" w:firstLineChars="200"/>
        <w:jc w:val="right"/>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20</w:t>
      </w:r>
      <w:r>
        <w:rPr>
          <w:rFonts w:hint="default" w:ascii="Times New Roman" w:hAnsi="Times New Roman" w:eastAsia="宋体" w:cs="Times New Roman"/>
          <w:color w:val="auto"/>
          <w:kern w:val="0"/>
          <w:sz w:val="24"/>
          <w:highlight w:val="none"/>
          <w:lang w:val="en-US" w:eastAsia="zh-CN"/>
        </w:rPr>
        <w:t>25</w:t>
      </w:r>
      <w:r>
        <w:rPr>
          <w:rFonts w:hint="default" w:ascii="Times New Roman" w:hAnsi="Times New Roman" w:eastAsia="宋体" w:cs="Times New Roman"/>
          <w:color w:val="auto"/>
          <w:kern w:val="0"/>
          <w:sz w:val="24"/>
          <w:highlight w:val="none"/>
        </w:rPr>
        <w:t>年</w:t>
      </w:r>
      <w:r>
        <w:rPr>
          <w:rFonts w:hint="eastAsia" w:ascii="Times New Roman" w:hAnsi="Times New Roman" w:cs="Times New Roman"/>
          <w:color w:val="auto"/>
          <w:kern w:val="0"/>
          <w:sz w:val="24"/>
          <w:highlight w:val="none"/>
          <w:lang w:val="en-US" w:eastAsia="zh-CN"/>
        </w:rPr>
        <w:t>9</w:t>
      </w:r>
      <w:r>
        <w:rPr>
          <w:rFonts w:hint="default" w:ascii="Times New Roman" w:hAnsi="Times New Roman" w:eastAsia="宋体" w:cs="Times New Roman"/>
          <w:color w:val="auto"/>
          <w:kern w:val="0"/>
          <w:sz w:val="24"/>
          <w:highlight w:val="none"/>
        </w:rPr>
        <w:t>月</w:t>
      </w:r>
      <w:r>
        <w:rPr>
          <w:rFonts w:hint="eastAsia" w:ascii="Times New Roman" w:hAnsi="Times New Roman" w:cs="Times New Roman"/>
          <w:color w:val="auto"/>
          <w:kern w:val="0"/>
          <w:sz w:val="24"/>
          <w:highlight w:val="none"/>
          <w:lang w:val="en-US" w:eastAsia="zh-CN"/>
        </w:rPr>
        <w:t>11</w:t>
      </w:r>
      <w:r>
        <w:rPr>
          <w:rFonts w:hint="default" w:ascii="Times New Roman" w:hAnsi="Times New Roman" w:eastAsia="宋体" w:cs="Times New Roman"/>
          <w:color w:val="auto"/>
          <w:kern w:val="0"/>
          <w:sz w:val="24"/>
          <w:highlight w:val="none"/>
        </w:rPr>
        <w:t>日</w:t>
      </w:r>
    </w:p>
    <w:p w14:paraId="5F503032">
      <w:pPr>
        <w:spacing w:line="360" w:lineRule="auto"/>
        <w:ind w:firstLine="480" w:firstLineChars="200"/>
        <w:jc w:val="right"/>
        <w:rPr>
          <w:rFonts w:hint="default" w:ascii="Times New Roman" w:hAnsi="Times New Roman" w:eastAsia="宋体" w:cs="Times New Roman"/>
          <w:color w:val="auto"/>
          <w:kern w:val="0"/>
          <w:sz w:val="24"/>
          <w:highlight w:val="none"/>
        </w:rPr>
      </w:pPr>
    </w:p>
    <w:p w14:paraId="4CA633A3">
      <w:pPr>
        <w:spacing w:line="360" w:lineRule="auto"/>
        <w:ind w:firstLine="480" w:firstLineChars="200"/>
        <w:jc w:val="right"/>
        <w:rPr>
          <w:rFonts w:hint="default" w:ascii="Times New Roman" w:hAnsi="Times New Roman" w:eastAsia="宋体" w:cs="Times New Roman"/>
          <w:color w:val="auto"/>
          <w:kern w:val="0"/>
          <w:sz w:val="24"/>
          <w:highlight w:val="none"/>
        </w:rPr>
      </w:pPr>
    </w:p>
    <w:p w14:paraId="6442333E">
      <w:pPr>
        <w:spacing w:line="360" w:lineRule="auto"/>
        <w:ind w:firstLine="480" w:firstLineChars="200"/>
        <w:jc w:val="right"/>
        <w:rPr>
          <w:rFonts w:hint="default" w:ascii="Times New Roman" w:hAnsi="Times New Roman" w:eastAsia="宋体" w:cs="Times New Roman"/>
          <w:color w:val="auto"/>
          <w:kern w:val="0"/>
          <w:sz w:val="24"/>
          <w:highlight w:val="none"/>
        </w:rPr>
      </w:pPr>
    </w:p>
    <w:p w14:paraId="52DA554D">
      <w:pPr>
        <w:spacing w:line="360" w:lineRule="auto"/>
        <w:ind w:firstLine="480" w:firstLineChars="200"/>
        <w:jc w:val="right"/>
        <w:rPr>
          <w:rFonts w:hint="default" w:ascii="Times New Roman" w:hAnsi="Times New Roman" w:eastAsia="宋体" w:cs="Times New Roman"/>
          <w:color w:val="auto"/>
          <w:kern w:val="0"/>
          <w:sz w:val="24"/>
          <w:highlight w:val="none"/>
        </w:rPr>
      </w:pPr>
    </w:p>
    <w:p w14:paraId="4B6BA0DA">
      <w:pPr>
        <w:spacing w:line="360" w:lineRule="auto"/>
        <w:ind w:firstLine="480" w:firstLineChars="200"/>
        <w:jc w:val="right"/>
        <w:rPr>
          <w:rFonts w:hint="default" w:ascii="Times New Roman" w:hAnsi="Times New Roman" w:eastAsia="宋体" w:cs="Times New Roman"/>
          <w:color w:val="auto"/>
          <w:kern w:val="0"/>
          <w:sz w:val="24"/>
          <w:highlight w:val="none"/>
        </w:rPr>
      </w:pPr>
    </w:p>
    <w:p w14:paraId="671DB9DF">
      <w:pPr>
        <w:spacing w:line="360" w:lineRule="auto"/>
        <w:jc w:val="both"/>
        <w:rPr>
          <w:rFonts w:hint="eastAsia"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drawing>
          <wp:inline distT="0" distB="0" distL="114300" distR="114300">
            <wp:extent cx="9103360" cy="5895340"/>
            <wp:effectExtent l="0" t="0" r="10160" b="2540"/>
            <wp:docPr id="1" name="图片 1" descr="签到表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签到表_01(1)"/>
                    <pic:cNvPicPr>
                      <a:picLocks noChangeAspect="1"/>
                    </pic:cNvPicPr>
                  </pic:nvPicPr>
                  <pic:blipFill>
                    <a:blip r:embed="rId4"/>
                    <a:stretch>
                      <a:fillRect/>
                    </a:stretch>
                  </pic:blipFill>
                  <pic:spPr>
                    <a:xfrm rot="16200000">
                      <a:off x="0" y="0"/>
                      <a:ext cx="9103360" cy="5895340"/>
                    </a:xfrm>
                    <a:prstGeom prst="rect">
                      <a:avLst/>
                    </a:prstGeom>
                  </pic:spPr>
                </pic:pic>
              </a:graphicData>
            </a:graphic>
          </wp:inline>
        </w:drawing>
      </w:r>
    </w:p>
    <w:p w14:paraId="3E7608D9">
      <w:pPr>
        <w:spacing w:line="360" w:lineRule="auto"/>
        <w:jc w:val="both"/>
        <w:rPr>
          <w:rFonts w:hint="eastAsia" w:ascii="Times New Roman" w:hAnsi="Times New Roman" w:eastAsia="宋体" w:cs="Times New Roman"/>
          <w:color w:val="auto"/>
          <w:kern w:val="0"/>
          <w:sz w:val="24"/>
          <w:highlight w:val="none"/>
          <w:lang w:val="en-US" w:eastAsia="zh-CN"/>
        </w:rPr>
      </w:pPr>
    </w:p>
    <w:sectPr>
      <w:pgSz w:w="11906" w:h="16838"/>
      <w:pgMar w:top="1134" w:right="1134" w:bottom="1134"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7035F"/>
    <w:multiLevelType w:val="singleLevel"/>
    <w:tmpl w:val="02E7035F"/>
    <w:lvl w:ilvl="0" w:tentative="0">
      <w:start w:val="5"/>
      <w:numFmt w:val="chineseCounting"/>
      <w:suff w:val="nothing"/>
      <w:lvlText w:val="（%1）"/>
      <w:lvlJc w:val="left"/>
      <w:rPr>
        <w:rFonts w:hint="eastAsia"/>
      </w:rPr>
    </w:lvl>
  </w:abstractNum>
  <w:abstractNum w:abstractNumId="1">
    <w:nsid w:val="406F2A9D"/>
    <w:multiLevelType w:val="multilevel"/>
    <w:tmpl w:val="406F2A9D"/>
    <w:lvl w:ilvl="0" w:tentative="0">
      <w:start w:val="1"/>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21"/>
      <w:suff w:val="space"/>
      <w:lvlText w:val="%1.%2"/>
      <w:lvlJc w:val="left"/>
      <w:pPr>
        <w:ind w:left="15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3NDRlNjQyYjNlZTdiMmNlMjBkMWNhNTkzOTRkMTAifQ=="/>
  </w:docVars>
  <w:rsids>
    <w:rsidRoot w:val="00000000"/>
    <w:rsid w:val="006F44F3"/>
    <w:rsid w:val="00AE01F7"/>
    <w:rsid w:val="00B87A8B"/>
    <w:rsid w:val="00E15234"/>
    <w:rsid w:val="00EF7950"/>
    <w:rsid w:val="00FD2119"/>
    <w:rsid w:val="013B0DE8"/>
    <w:rsid w:val="01553993"/>
    <w:rsid w:val="01C012ED"/>
    <w:rsid w:val="01C77D80"/>
    <w:rsid w:val="01FD26C6"/>
    <w:rsid w:val="02306473"/>
    <w:rsid w:val="025263E9"/>
    <w:rsid w:val="02B12833"/>
    <w:rsid w:val="02D84414"/>
    <w:rsid w:val="02E828A9"/>
    <w:rsid w:val="031160F4"/>
    <w:rsid w:val="03566F57"/>
    <w:rsid w:val="0363238C"/>
    <w:rsid w:val="038D16A3"/>
    <w:rsid w:val="038F541B"/>
    <w:rsid w:val="03DB41BC"/>
    <w:rsid w:val="04096F7B"/>
    <w:rsid w:val="040F20B8"/>
    <w:rsid w:val="041D6583"/>
    <w:rsid w:val="04497378"/>
    <w:rsid w:val="045126D0"/>
    <w:rsid w:val="047A39D5"/>
    <w:rsid w:val="04F34A42"/>
    <w:rsid w:val="056A6906"/>
    <w:rsid w:val="058C7E64"/>
    <w:rsid w:val="0597059F"/>
    <w:rsid w:val="05F31C91"/>
    <w:rsid w:val="06103038"/>
    <w:rsid w:val="064A73D7"/>
    <w:rsid w:val="065B7836"/>
    <w:rsid w:val="06EE09F3"/>
    <w:rsid w:val="072736DA"/>
    <w:rsid w:val="072B7687"/>
    <w:rsid w:val="072C3B31"/>
    <w:rsid w:val="073472B0"/>
    <w:rsid w:val="07373DFF"/>
    <w:rsid w:val="07483E98"/>
    <w:rsid w:val="074F1149"/>
    <w:rsid w:val="075C73C2"/>
    <w:rsid w:val="077F5883"/>
    <w:rsid w:val="07886BEA"/>
    <w:rsid w:val="07A5520D"/>
    <w:rsid w:val="08406CE4"/>
    <w:rsid w:val="08762705"/>
    <w:rsid w:val="088968DD"/>
    <w:rsid w:val="08B651F8"/>
    <w:rsid w:val="08C07E24"/>
    <w:rsid w:val="09063A89"/>
    <w:rsid w:val="09153CCC"/>
    <w:rsid w:val="093B7E06"/>
    <w:rsid w:val="094D7C70"/>
    <w:rsid w:val="09594501"/>
    <w:rsid w:val="098F4818"/>
    <w:rsid w:val="0A352E89"/>
    <w:rsid w:val="0A410AF1"/>
    <w:rsid w:val="0A420C4B"/>
    <w:rsid w:val="0AAC0EF8"/>
    <w:rsid w:val="0ABE325C"/>
    <w:rsid w:val="0AC62EBA"/>
    <w:rsid w:val="0AED5AFE"/>
    <w:rsid w:val="0AFA5870"/>
    <w:rsid w:val="0B097861"/>
    <w:rsid w:val="0B1A43F5"/>
    <w:rsid w:val="0B297F03"/>
    <w:rsid w:val="0B4602A1"/>
    <w:rsid w:val="0B4E5BBB"/>
    <w:rsid w:val="0B64718D"/>
    <w:rsid w:val="0B753148"/>
    <w:rsid w:val="0B7C1E4D"/>
    <w:rsid w:val="0B8E420A"/>
    <w:rsid w:val="0BB51A45"/>
    <w:rsid w:val="0BDF6813"/>
    <w:rsid w:val="0BEF4CA9"/>
    <w:rsid w:val="0BF57DE5"/>
    <w:rsid w:val="0C542D5E"/>
    <w:rsid w:val="0CAF3B7D"/>
    <w:rsid w:val="0CBB2DDD"/>
    <w:rsid w:val="0CE20369"/>
    <w:rsid w:val="0CEC568C"/>
    <w:rsid w:val="0D0C378D"/>
    <w:rsid w:val="0D134413"/>
    <w:rsid w:val="0D2E7A52"/>
    <w:rsid w:val="0D4940E8"/>
    <w:rsid w:val="0D75673E"/>
    <w:rsid w:val="0DB3645F"/>
    <w:rsid w:val="0DE30506"/>
    <w:rsid w:val="0E4F5ED2"/>
    <w:rsid w:val="0E752FC5"/>
    <w:rsid w:val="0F2A5FF8"/>
    <w:rsid w:val="0F2B6C1B"/>
    <w:rsid w:val="0F803D94"/>
    <w:rsid w:val="10101691"/>
    <w:rsid w:val="10234F21"/>
    <w:rsid w:val="10596B94"/>
    <w:rsid w:val="10702130"/>
    <w:rsid w:val="108A4FA0"/>
    <w:rsid w:val="10F22B45"/>
    <w:rsid w:val="10F60887"/>
    <w:rsid w:val="115D26B4"/>
    <w:rsid w:val="118A6CA0"/>
    <w:rsid w:val="11D230A2"/>
    <w:rsid w:val="12130FC5"/>
    <w:rsid w:val="12575356"/>
    <w:rsid w:val="125F5E2E"/>
    <w:rsid w:val="126A598F"/>
    <w:rsid w:val="134C0770"/>
    <w:rsid w:val="13596EAB"/>
    <w:rsid w:val="135D042F"/>
    <w:rsid w:val="13957CB9"/>
    <w:rsid w:val="13C133CE"/>
    <w:rsid w:val="13D673F9"/>
    <w:rsid w:val="146E6986"/>
    <w:rsid w:val="147650D9"/>
    <w:rsid w:val="14A800EA"/>
    <w:rsid w:val="14B120F6"/>
    <w:rsid w:val="14D07641"/>
    <w:rsid w:val="14D41776"/>
    <w:rsid w:val="150A66AF"/>
    <w:rsid w:val="150D2643"/>
    <w:rsid w:val="152534E9"/>
    <w:rsid w:val="152F0BBC"/>
    <w:rsid w:val="156D0C34"/>
    <w:rsid w:val="158278D5"/>
    <w:rsid w:val="15870CEB"/>
    <w:rsid w:val="16287735"/>
    <w:rsid w:val="1683324F"/>
    <w:rsid w:val="16A42B33"/>
    <w:rsid w:val="16CA07EC"/>
    <w:rsid w:val="16D57191"/>
    <w:rsid w:val="16F45869"/>
    <w:rsid w:val="16F95920"/>
    <w:rsid w:val="16FC64CC"/>
    <w:rsid w:val="172B7D93"/>
    <w:rsid w:val="174B2FAF"/>
    <w:rsid w:val="17681DB3"/>
    <w:rsid w:val="17B429B6"/>
    <w:rsid w:val="17EB45EE"/>
    <w:rsid w:val="1853036D"/>
    <w:rsid w:val="1866284C"/>
    <w:rsid w:val="18932E60"/>
    <w:rsid w:val="189337CE"/>
    <w:rsid w:val="18E52319"/>
    <w:rsid w:val="19436634"/>
    <w:rsid w:val="19472921"/>
    <w:rsid w:val="19570331"/>
    <w:rsid w:val="197131A1"/>
    <w:rsid w:val="19E576EB"/>
    <w:rsid w:val="19EF40C6"/>
    <w:rsid w:val="19F83716"/>
    <w:rsid w:val="1A197394"/>
    <w:rsid w:val="1A473F02"/>
    <w:rsid w:val="1A4F5002"/>
    <w:rsid w:val="1A974E89"/>
    <w:rsid w:val="1AC8792A"/>
    <w:rsid w:val="1B1D4C62"/>
    <w:rsid w:val="1B215A8A"/>
    <w:rsid w:val="1B6862D7"/>
    <w:rsid w:val="1B7F33D1"/>
    <w:rsid w:val="1B806455"/>
    <w:rsid w:val="1BA17641"/>
    <w:rsid w:val="1BB40EED"/>
    <w:rsid w:val="1BB46365"/>
    <w:rsid w:val="1BB479A2"/>
    <w:rsid w:val="1BD143CB"/>
    <w:rsid w:val="1BE0016A"/>
    <w:rsid w:val="1C085913"/>
    <w:rsid w:val="1C0F6CA1"/>
    <w:rsid w:val="1C313849"/>
    <w:rsid w:val="1C576A9C"/>
    <w:rsid w:val="1C6A7562"/>
    <w:rsid w:val="1C6D08DF"/>
    <w:rsid w:val="1C6D515A"/>
    <w:rsid w:val="1C760ACE"/>
    <w:rsid w:val="1C9E1AEA"/>
    <w:rsid w:val="1D043207"/>
    <w:rsid w:val="1D0936F0"/>
    <w:rsid w:val="1D352737"/>
    <w:rsid w:val="1D8B2357"/>
    <w:rsid w:val="1D992CC6"/>
    <w:rsid w:val="1DB16E21"/>
    <w:rsid w:val="1DB23D88"/>
    <w:rsid w:val="1DE55F0B"/>
    <w:rsid w:val="1DE71C83"/>
    <w:rsid w:val="1DF9228A"/>
    <w:rsid w:val="1E0A7720"/>
    <w:rsid w:val="1E116D00"/>
    <w:rsid w:val="1E3B38FB"/>
    <w:rsid w:val="1E401394"/>
    <w:rsid w:val="1E592A71"/>
    <w:rsid w:val="1E7948A6"/>
    <w:rsid w:val="1EC27FFB"/>
    <w:rsid w:val="1EC66531"/>
    <w:rsid w:val="1ED04016"/>
    <w:rsid w:val="1F525822"/>
    <w:rsid w:val="1FD955FC"/>
    <w:rsid w:val="1FE230BF"/>
    <w:rsid w:val="1FFC6A34"/>
    <w:rsid w:val="200F54C2"/>
    <w:rsid w:val="201725C8"/>
    <w:rsid w:val="20605D1D"/>
    <w:rsid w:val="206C7B49"/>
    <w:rsid w:val="207120C3"/>
    <w:rsid w:val="20971013"/>
    <w:rsid w:val="209E7C51"/>
    <w:rsid w:val="20B8066B"/>
    <w:rsid w:val="20C4005A"/>
    <w:rsid w:val="20F67487"/>
    <w:rsid w:val="21115269"/>
    <w:rsid w:val="21225204"/>
    <w:rsid w:val="21294361"/>
    <w:rsid w:val="216B2BCB"/>
    <w:rsid w:val="21820E9B"/>
    <w:rsid w:val="2184503B"/>
    <w:rsid w:val="21B17C21"/>
    <w:rsid w:val="22200FE5"/>
    <w:rsid w:val="22242A4E"/>
    <w:rsid w:val="222D1ACA"/>
    <w:rsid w:val="228527E6"/>
    <w:rsid w:val="228C4BA7"/>
    <w:rsid w:val="229B20FD"/>
    <w:rsid w:val="22B8599C"/>
    <w:rsid w:val="22D45DCA"/>
    <w:rsid w:val="23364142"/>
    <w:rsid w:val="233F7E6C"/>
    <w:rsid w:val="23863CED"/>
    <w:rsid w:val="23B5012E"/>
    <w:rsid w:val="23BD07B1"/>
    <w:rsid w:val="23C62FBD"/>
    <w:rsid w:val="24A7216D"/>
    <w:rsid w:val="24BF3430"/>
    <w:rsid w:val="24D34D10"/>
    <w:rsid w:val="24EC5DD1"/>
    <w:rsid w:val="25227A45"/>
    <w:rsid w:val="25257535"/>
    <w:rsid w:val="25330E57"/>
    <w:rsid w:val="254C0C39"/>
    <w:rsid w:val="2551032A"/>
    <w:rsid w:val="257150D5"/>
    <w:rsid w:val="25867FD4"/>
    <w:rsid w:val="25BE6335"/>
    <w:rsid w:val="25C805EC"/>
    <w:rsid w:val="25DD571A"/>
    <w:rsid w:val="25E371D4"/>
    <w:rsid w:val="26103D41"/>
    <w:rsid w:val="2612465B"/>
    <w:rsid w:val="261455E0"/>
    <w:rsid w:val="26C32B62"/>
    <w:rsid w:val="27421CD9"/>
    <w:rsid w:val="27D56FF1"/>
    <w:rsid w:val="280653FC"/>
    <w:rsid w:val="285D507A"/>
    <w:rsid w:val="28D56F0D"/>
    <w:rsid w:val="28F65471"/>
    <w:rsid w:val="290F5367"/>
    <w:rsid w:val="29134EDD"/>
    <w:rsid w:val="29A749BD"/>
    <w:rsid w:val="29B13146"/>
    <w:rsid w:val="29BF1D06"/>
    <w:rsid w:val="2A335CCA"/>
    <w:rsid w:val="2A3377AC"/>
    <w:rsid w:val="2A557F75"/>
    <w:rsid w:val="2A5C7555"/>
    <w:rsid w:val="2A9E0161"/>
    <w:rsid w:val="2AFD06C9"/>
    <w:rsid w:val="2B285689"/>
    <w:rsid w:val="2B381D70"/>
    <w:rsid w:val="2B41609E"/>
    <w:rsid w:val="2B45623B"/>
    <w:rsid w:val="2B4B2AFB"/>
    <w:rsid w:val="2B764647"/>
    <w:rsid w:val="2B88437A"/>
    <w:rsid w:val="2B9D7E25"/>
    <w:rsid w:val="2BB40E5B"/>
    <w:rsid w:val="2BBF78D5"/>
    <w:rsid w:val="2C4E7372"/>
    <w:rsid w:val="2CC16079"/>
    <w:rsid w:val="2CDC497D"/>
    <w:rsid w:val="2CF0667B"/>
    <w:rsid w:val="2CF41CC7"/>
    <w:rsid w:val="2D0B1F79"/>
    <w:rsid w:val="2D77745E"/>
    <w:rsid w:val="2D7E3C87"/>
    <w:rsid w:val="2D864EB0"/>
    <w:rsid w:val="2E4647A4"/>
    <w:rsid w:val="2E567191"/>
    <w:rsid w:val="2E6B37BB"/>
    <w:rsid w:val="2E82663A"/>
    <w:rsid w:val="2E905A1F"/>
    <w:rsid w:val="2E9D1104"/>
    <w:rsid w:val="2EB15996"/>
    <w:rsid w:val="2EBC6814"/>
    <w:rsid w:val="2EC3451F"/>
    <w:rsid w:val="2EF20488"/>
    <w:rsid w:val="2EF53AD4"/>
    <w:rsid w:val="2EFA558F"/>
    <w:rsid w:val="2F1B7324"/>
    <w:rsid w:val="2F527179"/>
    <w:rsid w:val="2F7215C9"/>
    <w:rsid w:val="2F7C41F6"/>
    <w:rsid w:val="2F8B61E7"/>
    <w:rsid w:val="2FA5288E"/>
    <w:rsid w:val="2FE83639"/>
    <w:rsid w:val="300541EB"/>
    <w:rsid w:val="303403FA"/>
    <w:rsid w:val="303B19BB"/>
    <w:rsid w:val="303F598D"/>
    <w:rsid w:val="3058256D"/>
    <w:rsid w:val="306233EC"/>
    <w:rsid w:val="30782C0F"/>
    <w:rsid w:val="307920D8"/>
    <w:rsid w:val="308405B2"/>
    <w:rsid w:val="309003C3"/>
    <w:rsid w:val="30917605"/>
    <w:rsid w:val="30A532D8"/>
    <w:rsid w:val="30DB6CFA"/>
    <w:rsid w:val="30E90E7B"/>
    <w:rsid w:val="3126266B"/>
    <w:rsid w:val="31440D43"/>
    <w:rsid w:val="31480833"/>
    <w:rsid w:val="316062C7"/>
    <w:rsid w:val="319C46DB"/>
    <w:rsid w:val="31A27F7B"/>
    <w:rsid w:val="31B201DD"/>
    <w:rsid w:val="31B22151"/>
    <w:rsid w:val="31BD1DC4"/>
    <w:rsid w:val="31CD2AE7"/>
    <w:rsid w:val="32052280"/>
    <w:rsid w:val="32A25D21"/>
    <w:rsid w:val="32A27F10"/>
    <w:rsid w:val="32BE21C5"/>
    <w:rsid w:val="32D83E39"/>
    <w:rsid w:val="33152997"/>
    <w:rsid w:val="331621F9"/>
    <w:rsid w:val="331812CD"/>
    <w:rsid w:val="33291F9F"/>
    <w:rsid w:val="332E6808"/>
    <w:rsid w:val="33487C23"/>
    <w:rsid w:val="33574D5E"/>
    <w:rsid w:val="33A01007"/>
    <w:rsid w:val="33BE4DDD"/>
    <w:rsid w:val="33D43DBD"/>
    <w:rsid w:val="33DC5263"/>
    <w:rsid w:val="340F388A"/>
    <w:rsid w:val="341E3ACD"/>
    <w:rsid w:val="343F4A14"/>
    <w:rsid w:val="349A75F8"/>
    <w:rsid w:val="34BD5094"/>
    <w:rsid w:val="34D50630"/>
    <w:rsid w:val="34EC4711"/>
    <w:rsid w:val="35011425"/>
    <w:rsid w:val="35170C48"/>
    <w:rsid w:val="351F3913"/>
    <w:rsid w:val="35337151"/>
    <w:rsid w:val="355A6D87"/>
    <w:rsid w:val="35642E36"/>
    <w:rsid w:val="35AB37D1"/>
    <w:rsid w:val="35CB558F"/>
    <w:rsid w:val="35ED19A9"/>
    <w:rsid w:val="360B5277"/>
    <w:rsid w:val="361909F0"/>
    <w:rsid w:val="361E6007"/>
    <w:rsid w:val="36251143"/>
    <w:rsid w:val="36297C02"/>
    <w:rsid w:val="36511F38"/>
    <w:rsid w:val="36633A19"/>
    <w:rsid w:val="36877708"/>
    <w:rsid w:val="36904F4B"/>
    <w:rsid w:val="36941E25"/>
    <w:rsid w:val="369F3CD4"/>
    <w:rsid w:val="36B349A1"/>
    <w:rsid w:val="36C721FA"/>
    <w:rsid w:val="36E20737"/>
    <w:rsid w:val="36F01751"/>
    <w:rsid w:val="375872F6"/>
    <w:rsid w:val="3784633D"/>
    <w:rsid w:val="378E656C"/>
    <w:rsid w:val="379B74CF"/>
    <w:rsid w:val="37FB5F35"/>
    <w:rsid w:val="38030A86"/>
    <w:rsid w:val="382D3998"/>
    <w:rsid w:val="38877E93"/>
    <w:rsid w:val="38972E1C"/>
    <w:rsid w:val="38CF1470"/>
    <w:rsid w:val="38E70932"/>
    <w:rsid w:val="38F17F19"/>
    <w:rsid w:val="38FC3DB3"/>
    <w:rsid w:val="3914549F"/>
    <w:rsid w:val="39287C1C"/>
    <w:rsid w:val="39763A64"/>
    <w:rsid w:val="39777F08"/>
    <w:rsid w:val="397D3044"/>
    <w:rsid w:val="39C3314D"/>
    <w:rsid w:val="39FE23D7"/>
    <w:rsid w:val="3A16319D"/>
    <w:rsid w:val="3A810912"/>
    <w:rsid w:val="3A914FF9"/>
    <w:rsid w:val="3AC80920"/>
    <w:rsid w:val="3AC90C3C"/>
    <w:rsid w:val="3AF45588"/>
    <w:rsid w:val="3B0319E9"/>
    <w:rsid w:val="3B0372DD"/>
    <w:rsid w:val="3B385475"/>
    <w:rsid w:val="3B4E3612"/>
    <w:rsid w:val="3B590718"/>
    <w:rsid w:val="3B824942"/>
    <w:rsid w:val="3B8443B3"/>
    <w:rsid w:val="3BC74A4B"/>
    <w:rsid w:val="3BF07FA7"/>
    <w:rsid w:val="3BFC2946"/>
    <w:rsid w:val="3C0C3CEF"/>
    <w:rsid w:val="3C320282"/>
    <w:rsid w:val="3C6F1EA0"/>
    <w:rsid w:val="3CEC49C0"/>
    <w:rsid w:val="3D3E4FFD"/>
    <w:rsid w:val="3D437B38"/>
    <w:rsid w:val="3D566086"/>
    <w:rsid w:val="3DAE7C70"/>
    <w:rsid w:val="3DC70D32"/>
    <w:rsid w:val="3E2B7513"/>
    <w:rsid w:val="3E605959"/>
    <w:rsid w:val="3E7762B4"/>
    <w:rsid w:val="3E8F782E"/>
    <w:rsid w:val="3EA177D5"/>
    <w:rsid w:val="3EF51CD1"/>
    <w:rsid w:val="3F0365C7"/>
    <w:rsid w:val="3F0D6C18"/>
    <w:rsid w:val="3F76656C"/>
    <w:rsid w:val="3F937B68"/>
    <w:rsid w:val="3FDA11F0"/>
    <w:rsid w:val="3FE15A9A"/>
    <w:rsid w:val="400C0C7E"/>
    <w:rsid w:val="40381A73"/>
    <w:rsid w:val="404E1296"/>
    <w:rsid w:val="405A7C3B"/>
    <w:rsid w:val="40AD2461"/>
    <w:rsid w:val="40E439A9"/>
    <w:rsid w:val="4104183B"/>
    <w:rsid w:val="410D12F8"/>
    <w:rsid w:val="415029D9"/>
    <w:rsid w:val="41670862"/>
    <w:rsid w:val="41F93484"/>
    <w:rsid w:val="420F2CA7"/>
    <w:rsid w:val="4214206C"/>
    <w:rsid w:val="42722B78"/>
    <w:rsid w:val="431762B8"/>
    <w:rsid w:val="434D1CD9"/>
    <w:rsid w:val="43575F8F"/>
    <w:rsid w:val="43737CDA"/>
    <w:rsid w:val="43827BB1"/>
    <w:rsid w:val="43BB08DC"/>
    <w:rsid w:val="43C27FD1"/>
    <w:rsid w:val="43E02B4D"/>
    <w:rsid w:val="44182A93"/>
    <w:rsid w:val="442A13D9"/>
    <w:rsid w:val="444162D1"/>
    <w:rsid w:val="44AD6ED3"/>
    <w:rsid w:val="44B21CE6"/>
    <w:rsid w:val="44C25F0B"/>
    <w:rsid w:val="452D3B70"/>
    <w:rsid w:val="453365B0"/>
    <w:rsid w:val="45605CF4"/>
    <w:rsid w:val="45F34DBA"/>
    <w:rsid w:val="460365FF"/>
    <w:rsid w:val="460C5E7C"/>
    <w:rsid w:val="463D7DBF"/>
    <w:rsid w:val="46530312"/>
    <w:rsid w:val="46537607"/>
    <w:rsid w:val="46713811"/>
    <w:rsid w:val="468E4AE3"/>
    <w:rsid w:val="469814BD"/>
    <w:rsid w:val="469E45C2"/>
    <w:rsid w:val="475A49C5"/>
    <w:rsid w:val="475C698F"/>
    <w:rsid w:val="47727F60"/>
    <w:rsid w:val="477618A3"/>
    <w:rsid w:val="479510FE"/>
    <w:rsid w:val="47D62F59"/>
    <w:rsid w:val="481F0EAE"/>
    <w:rsid w:val="483A26D1"/>
    <w:rsid w:val="488429C0"/>
    <w:rsid w:val="48CE11C6"/>
    <w:rsid w:val="48E42798"/>
    <w:rsid w:val="48FC1291"/>
    <w:rsid w:val="496140CE"/>
    <w:rsid w:val="49D56585"/>
    <w:rsid w:val="49D9587C"/>
    <w:rsid w:val="49E334F6"/>
    <w:rsid w:val="49EE6266"/>
    <w:rsid w:val="4A3239D7"/>
    <w:rsid w:val="4A5E042C"/>
    <w:rsid w:val="4A743FEF"/>
    <w:rsid w:val="4AA5064D"/>
    <w:rsid w:val="4ABD7744"/>
    <w:rsid w:val="4AD36F68"/>
    <w:rsid w:val="4B427C4A"/>
    <w:rsid w:val="4B6D116B"/>
    <w:rsid w:val="4B773D97"/>
    <w:rsid w:val="4BF65E1D"/>
    <w:rsid w:val="4C09265D"/>
    <w:rsid w:val="4C1356A2"/>
    <w:rsid w:val="4C8712D5"/>
    <w:rsid w:val="4C8A2BA4"/>
    <w:rsid w:val="4CAB577D"/>
    <w:rsid w:val="4D0478AD"/>
    <w:rsid w:val="4D097DFF"/>
    <w:rsid w:val="4D3637DE"/>
    <w:rsid w:val="4D4001B9"/>
    <w:rsid w:val="4D4128AF"/>
    <w:rsid w:val="4D492AC2"/>
    <w:rsid w:val="4DBD7A5B"/>
    <w:rsid w:val="4DC66A12"/>
    <w:rsid w:val="4DD8372B"/>
    <w:rsid w:val="4DDE00FE"/>
    <w:rsid w:val="4DF711BF"/>
    <w:rsid w:val="4E04104E"/>
    <w:rsid w:val="4E165AE9"/>
    <w:rsid w:val="4E2A3343"/>
    <w:rsid w:val="4E406DDB"/>
    <w:rsid w:val="4E6B025A"/>
    <w:rsid w:val="4E8A5B90"/>
    <w:rsid w:val="4E923725"/>
    <w:rsid w:val="4E952950"/>
    <w:rsid w:val="4EA2112B"/>
    <w:rsid w:val="4EC15F85"/>
    <w:rsid w:val="4EC527A3"/>
    <w:rsid w:val="4EDB63EB"/>
    <w:rsid w:val="4F005E52"/>
    <w:rsid w:val="4F05790C"/>
    <w:rsid w:val="4F0911AA"/>
    <w:rsid w:val="50231584"/>
    <w:rsid w:val="50552B58"/>
    <w:rsid w:val="50724B2D"/>
    <w:rsid w:val="50AA42C7"/>
    <w:rsid w:val="50DE6667"/>
    <w:rsid w:val="510F0E13"/>
    <w:rsid w:val="514B4F78"/>
    <w:rsid w:val="51E23F34"/>
    <w:rsid w:val="51ED7522"/>
    <w:rsid w:val="51FF7420"/>
    <w:rsid w:val="5245699D"/>
    <w:rsid w:val="525C3CE7"/>
    <w:rsid w:val="52755359"/>
    <w:rsid w:val="52923265"/>
    <w:rsid w:val="52990A97"/>
    <w:rsid w:val="52B72CCB"/>
    <w:rsid w:val="52C11D9C"/>
    <w:rsid w:val="53475896"/>
    <w:rsid w:val="53582700"/>
    <w:rsid w:val="537329AF"/>
    <w:rsid w:val="53755060"/>
    <w:rsid w:val="539232B3"/>
    <w:rsid w:val="53B042EA"/>
    <w:rsid w:val="53D0673A"/>
    <w:rsid w:val="541624AE"/>
    <w:rsid w:val="54330CD9"/>
    <w:rsid w:val="544A6CFB"/>
    <w:rsid w:val="545207D2"/>
    <w:rsid w:val="545C3B2A"/>
    <w:rsid w:val="54684676"/>
    <w:rsid w:val="54717BEB"/>
    <w:rsid w:val="5475755D"/>
    <w:rsid w:val="55254864"/>
    <w:rsid w:val="554967A4"/>
    <w:rsid w:val="554C1DF1"/>
    <w:rsid w:val="556E7FB9"/>
    <w:rsid w:val="55823A64"/>
    <w:rsid w:val="55982572"/>
    <w:rsid w:val="55AC7BBD"/>
    <w:rsid w:val="55F61D5C"/>
    <w:rsid w:val="561D378D"/>
    <w:rsid w:val="56225547"/>
    <w:rsid w:val="5625513D"/>
    <w:rsid w:val="563034C0"/>
    <w:rsid w:val="56504000"/>
    <w:rsid w:val="56B063AF"/>
    <w:rsid w:val="56BD287A"/>
    <w:rsid w:val="56CC14F3"/>
    <w:rsid w:val="56EB388B"/>
    <w:rsid w:val="56F03D6C"/>
    <w:rsid w:val="57252A57"/>
    <w:rsid w:val="57340D8E"/>
    <w:rsid w:val="57571CBA"/>
    <w:rsid w:val="577B69BD"/>
    <w:rsid w:val="579E7882"/>
    <w:rsid w:val="57AA72A2"/>
    <w:rsid w:val="57EA4A45"/>
    <w:rsid w:val="57F1536A"/>
    <w:rsid w:val="58064C3C"/>
    <w:rsid w:val="580E5A83"/>
    <w:rsid w:val="58331046"/>
    <w:rsid w:val="58647451"/>
    <w:rsid w:val="586B3150"/>
    <w:rsid w:val="589C097F"/>
    <w:rsid w:val="59044790"/>
    <w:rsid w:val="59111F0A"/>
    <w:rsid w:val="592554A0"/>
    <w:rsid w:val="594554D5"/>
    <w:rsid w:val="59547B0C"/>
    <w:rsid w:val="59A06702"/>
    <w:rsid w:val="59A246D5"/>
    <w:rsid w:val="59D423B5"/>
    <w:rsid w:val="59FB3DE5"/>
    <w:rsid w:val="5A2055FA"/>
    <w:rsid w:val="5A2A6479"/>
    <w:rsid w:val="5A67147B"/>
    <w:rsid w:val="5A855CC9"/>
    <w:rsid w:val="5AB511FC"/>
    <w:rsid w:val="5AC23CD1"/>
    <w:rsid w:val="5B286E5C"/>
    <w:rsid w:val="5B5548D8"/>
    <w:rsid w:val="5B8322E4"/>
    <w:rsid w:val="5B94629C"/>
    <w:rsid w:val="5BE56AFB"/>
    <w:rsid w:val="5C2313D1"/>
    <w:rsid w:val="5C394FAE"/>
    <w:rsid w:val="5C677510"/>
    <w:rsid w:val="5C693288"/>
    <w:rsid w:val="5C795370"/>
    <w:rsid w:val="5C7B5ADE"/>
    <w:rsid w:val="5C7D31D8"/>
    <w:rsid w:val="5C982577"/>
    <w:rsid w:val="5CCB7A9F"/>
    <w:rsid w:val="5CD3198F"/>
    <w:rsid w:val="5CDB3A5A"/>
    <w:rsid w:val="5D1256CE"/>
    <w:rsid w:val="5D184CAE"/>
    <w:rsid w:val="5D320C20"/>
    <w:rsid w:val="5D46706C"/>
    <w:rsid w:val="5D605245"/>
    <w:rsid w:val="5D8D2FA6"/>
    <w:rsid w:val="5DA42323"/>
    <w:rsid w:val="5DBC7D30"/>
    <w:rsid w:val="5DED1ED3"/>
    <w:rsid w:val="5E176D14"/>
    <w:rsid w:val="5E3C677A"/>
    <w:rsid w:val="5E714676"/>
    <w:rsid w:val="5E7F3237"/>
    <w:rsid w:val="5E9F11E3"/>
    <w:rsid w:val="5EDA221B"/>
    <w:rsid w:val="5EE440EC"/>
    <w:rsid w:val="5F5D4BFA"/>
    <w:rsid w:val="5F797C86"/>
    <w:rsid w:val="5F9920D6"/>
    <w:rsid w:val="5FB409B1"/>
    <w:rsid w:val="5FC15189"/>
    <w:rsid w:val="600C4F8E"/>
    <w:rsid w:val="60270C25"/>
    <w:rsid w:val="60425A2F"/>
    <w:rsid w:val="6062696C"/>
    <w:rsid w:val="60AC5E39"/>
    <w:rsid w:val="60C70EC5"/>
    <w:rsid w:val="60D55390"/>
    <w:rsid w:val="625C563D"/>
    <w:rsid w:val="627B506E"/>
    <w:rsid w:val="628C5F22"/>
    <w:rsid w:val="62B15989"/>
    <w:rsid w:val="630730C7"/>
    <w:rsid w:val="635C2B47"/>
    <w:rsid w:val="638D1D36"/>
    <w:rsid w:val="639C3F43"/>
    <w:rsid w:val="63A762A6"/>
    <w:rsid w:val="63BB78A1"/>
    <w:rsid w:val="63BE035D"/>
    <w:rsid w:val="63E13A0B"/>
    <w:rsid w:val="63EE0517"/>
    <w:rsid w:val="63F54E11"/>
    <w:rsid w:val="6401024A"/>
    <w:rsid w:val="640A70BB"/>
    <w:rsid w:val="64177A6E"/>
    <w:rsid w:val="64210769"/>
    <w:rsid w:val="64550596"/>
    <w:rsid w:val="648C220A"/>
    <w:rsid w:val="649E30EE"/>
    <w:rsid w:val="64D55573"/>
    <w:rsid w:val="64F953C5"/>
    <w:rsid w:val="64FB5E91"/>
    <w:rsid w:val="653855DE"/>
    <w:rsid w:val="65430077"/>
    <w:rsid w:val="656E5DB3"/>
    <w:rsid w:val="65D715A9"/>
    <w:rsid w:val="661D72B3"/>
    <w:rsid w:val="662927B2"/>
    <w:rsid w:val="662C2F95"/>
    <w:rsid w:val="666F48B2"/>
    <w:rsid w:val="66812FCE"/>
    <w:rsid w:val="66845C6B"/>
    <w:rsid w:val="66897B56"/>
    <w:rsid w:val="669E446B"/>
    <w:rsid w:val="66B3027F"/>
    <w:rsid w:val="66CC2D91"/>
    <w:rsid w:val="676C6322"/>
    <w:rsid w:val="677A5055"/>
    <w:rsid w:val="67E91721"/>
    <w:rsid w:val="684828EC"/>
    <w:rsid w:val="689E0B09"/>
    <w:rsid w:val="68AF64C7"/>
    <w:rsid w:val="68BA2E4A"/>
    <w:rsid w:val="68BF2482"/>
    <w:rsid w:val="68D57089"/>
    <w:rsid w:val="68D75A1D"/>
    <w:rsid w:val="69731BEA"/>
    <w:rsid w:val="69765236"/>
    <w:rsid w:val="697D4817"/>
    <w:rsid w:val="69AA326E"/>
    <w:rsid w:val="69D02B99"/>
    <w:rsid w:val="69F83E9D"/>
    <w:rsid w:val="6A042842"/>
    <w:rsid w:val="6A374E4B"/>
    <w:rsid w:val="6A5837C7"/>
    <w:rsid w:val="6A7E0847"/>
    <w:rsid w:val="6B00125C"/>
    <w:rsid w:val="6B1B2A5E"/>
    <w:rsid w:val="6B8E2D0B"/>
    <w:rsid w:val="6BBC10B2"/>
    <w:rsid w:val="6BC35730"/>
    <w:rsid w:val="6BCF0C2E"/>
    <w:rsid w:val="6BF012D0"/>
    <w:rsid w:val="6C541216"/>
    <w:rsid w:val="6C5C53CF"/>
    <w:rsid w:val="6C686766"/>
    <w:rsid w:val="6C9F6CBF"/>
    <w:rsid w:val="6CDE381E"/>
    <w:rsid w:val="6CE414DC"/>
    <w:rsid w:val="6D817112"/>
    <w:rsid w:val="6D8A47CA"/>
    <w:rsid w:val="6D9B526C"/>
    <w:rsid w:val="6E573888"/>
    <w:rsid w:val="6E6F421F"/>
    <w:rsid w:val="6E92623A"/>
    <w:rsid w:val="6EBA381B"/>
    <w:rsid w:val="6F0D2199"/>
    <w:rsid w:val="6F2968A7"/>
    <w:rsid w:val="6F2F65B3"/>
    <w:rsid w:val="6F457B85"/>
    <w:rsid w:val="6F4638FD"/>
    <w:rsid w:val="6FB940CF"/>
    <w:rsid w:val="6FBD5FE1"/>
    <w:rsid w:val="6FCE7B7A"/>
    <w:rsid w:val="6FE70C3C"/>
    <w:rsid w:val="6FEF189F"/>
    <w:rsid w:val="6FF31971"/>
    <w:rsid w:val="70141305"/>
    <w:rsid w:val="70207CAA"/>
    <w:rsid w:val="70221C74"/>
    <w:rsid w:val="705B5186"/>
    <w:rsid w:val="70785D38"/>
    <w:rsid w:val="70826FF6"/>
    <w:rsid w:val="70D7072F"/>
    <w:rsid w:val="712351CC"/>
    <w:rsid w:val="71665B90"/>
    <w:rsid w:val="716A38D3"/>
    <w:rsid w:val="71704C61"/>
    <w:rsid w:val="71830048"/>
    <w:rsid w:val="71A779AA"/>
    <w:rsid w:val="71BE3C1E"/>
    <w:rsid w:val="71E17B50"/>
    <w:rsid w:val="72612407"/>
    <w:rsid w:val="72D37256"/>
    <w:rsid w:val="72E15E16"/>
    <w:rsid w:val="72EE0533"/>
    <w:rsid w:val="73540F98"/>
    <w:rsid w:val="736507F6"/>
    <w:rsid w:val="73953386"/>
    <w:rsid w:val="73AC0640"/>
    <w:rsid w:val="73B2330F"/>
    <w:rsid w:val="73EF6311"/>
    <w:rsid w:val="73FE0302"/>
    <w:rsid w:val="740D4E17"/>
    <w:rsid w:val="74220495"/>
    <w:rsid w:val="74A569D0"/>
    <w:rsid w:val="74BC09A1"/>
    <w:rsid w:val="7501454E"/>
    <w:rsid w:val="75093403"/>
    <w:rsid w:val="7521074C"/>
    <w:rsid w:val="75385A96"/>
    <w:rsid w:val="757840E4"/>
    <w:rsid w:val="75860393"/>
    <w:rsid w:val="758B206A"/>
    <w:rsid w:val="758F0E96"/>
    <w:rsid w:val="759929D8"/>
    <w:rsid w:val="75B415C0"/>
    <w:rsid w:val="75F573FC"/>
    <w:rsid w:val="760D2A7F"/>
    <w:rsid w:val="7620086F"/>
    <w:rsid w:val="762B1157"/>
    <w:rsid w:val="76BF6607"/>
    <w:rsid w:val="76F0487A"/>
    <w:rsid w:val="77000835"/>
    <w:rsid w:val="772D6E8E"/>
    <w:rsid w:val="77577C6A"/>
    <w:rsid w:val="776112D4"/>
    <w:rsid w:val="776B3F01"/>
    <w:rsid w:val="778B619F"/>
    <w:rsid w:val="77DB72D8"/>
    <w:rsid w:val="77DC741B"/>
    <w:rsid w:val="77F932A5"/>
    <w:rsid w:val="78200134"/>
    <w:rsid w:val="78760DAF"/>
    <w:rsid w:val="787B63C5"/>
    <w:rsid w:val="789B25C4"/>
    <w:rsid w:val="78E81581"/>
    <w:rsid w:val="793D1193"/>
    <w:rsid w:val="794B223C"/>
    <w:rsid w:val="7956473D"/>
    <w:rsid w:val="795F7D0D"/>
    <w:rsid w:val="79971568"/>
    <w:rsid w:val="79A66FD3"/>
    <w:rsid w:val="79A74F98"/>
    <w:rsid w:val="79D0629D"/>
    <w:rsid w:val="79EE0E19"/>
    <w:rsid w:val="7A4B626B"/>
    <w:rsid w:val="7A660A22"/>
    <w:rsid w:val="7A8F2E13"/>
    <w:rsid w:val="7AEA338E"/>
    <w:rsid w:val="7B011C90"/>
    <w:rsid w:val="7B1D781F"/>
    <w:rsid w:val="7B3D021F"/>
    <w:rsid w:val="7BBF02DD"/>
    <w:rsid w:val="7C3074C7"/>
    <w:rsid w:val="7C833A9B"/>
    <w:rsid w:val="7CF44998"/>
    <w:rsid w:val="7D557E11"/>
    <w:rsid w:val="7D5D6F6D"/>
    <w:rsid w:val="7D6B6113"/>
    <w:rsid w:val="7D785D38"/>
    <w:rsid w:val="7D913A27"/>
    <w:rsid w:val="7DA26EDC"/>
    <w:rsid w:val="7DAC5273"/>
    <w:rsid w:val="7E066731"/>
    <w:rsid w:val="7E3F39F1"/>
    <w:rsid w:val="7E5E6CCB"/>
    <w:rsid w:val="7E680EAA"/>
    <w:rsid w:val="7E832AC7"/>
    <w:rsid w:val="7E9B156F"/>
    <w:rsid w:val="7E9F071A"/>
    <w:rsid w:val="7EA96162"/>
    <w:rsid w:val="7EA97B73"/>
    <w:rsid w:val="7EB20667"/>
    <w:rsid w:val="7ECB20F8"/>
    <w:rsid w:val="7F034416"/>
    <w:rsid w:val="7F3900A1"/>
    <w:rsid w:val="7F3C6183"/>
    <w:rsid w:val="7F500288"/>
    <w:rsid w:val="7F5B391B"/>
    <w:rsid w:val="7F686F78"/>
    <w:rsid w:val="7F6A7194"/>
    <w:rsid w:val="7F89586C"/>
    <w:rsid w:val="7F9F1785"/>
    <w:rsid w:val="7FF35BB4"/>
    <w:rsid w:val="BFC57707"/>
    <w:rsid w:val="DFF5B08B"/>
    <w:rsid w:val="EEB93A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16">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next w:val="4"/>
    <w:qFormat/>
    <w:uiPriority w:val="0"/>
    <w:pPr>
      <w:ind w:firstLine="420"/>
    </w:pPr>
  </w:style>
  <w:style w:type="paragraph" w:customStyle="1" w:styleId="4">
    <w:name w:val="正文首行缩进2个字 Char"/>
    <w:basedOn w:val="1"/>
    <w:qFormat/>
    <w:uiPriority w:val="0"/>
    <w:pPr>
      <w:ind w:firstLine="480" w:firstLineChars="200"/>
    </w:pPr>
    <w:rPr>
      <w:rFonts w:eastAsia="楷体"/>
      <w:sz w:val="24"/>
      <w:szCs w:val="24"/>
    </w:rPr>
  </w:style>
  <w:style w:type="paragraph" w:styleId="5">
    <w:name w:val="annotation text"/>
    <w:basedOn w:val="1"/>
    <w:link w:val="25"/>
    <w:qFormat/>
    <w:uiPriority w:val="0"/>
    <w:pPr>
      <w:jc w:val="left"/>
    </w:pPr>
  </w:style>
  <w:style w:type="paragraph" w:styleId="6">
    <w:name w:val="Body Text"/>
    <w:basedOn w:val="1"/>
    <w:next w:val="7"/>
    <w:unhideWhenUsed/>
    <w:qFormat/>
    <w:uiPriority w:val="99"/>
    <w:pPr>
      <w:ind w:left="118"/>
    </w:pPr>
    <w:rPr>
      <w:rFonts w:ascii="宋体" w:hAnsi="宋体" w:eastAsia="宋体"/>
    </w:rPr>
  </w:style>
  <w:style w:type="paragraph" w:customStyle="1" w:styleId="7">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styleId="8">
    <w:name w:val="Body Text Indent"/>
    <w:basedOn w:val="1"/>
    <w:next w:val="9"/>
    <w:qFormat/>
    <w:uiPriority w:val="0"/>
    <w:pPr>
      <w:ind w:firstLine="480" w:firstLineChars="200"/>
    </w:pPr>
    <w:rPr>
      <w:rFonts w:ascii="宋体"/>
      <w:color w:val="000000"/>
      <w:sz w:val="24"/>
    </w:rPr>
  </w:style>
  <w:style w:type="paragraph" w:styleId="9">
    <w:name w:val="toc 9"/>
    <w:basedOn w:val="1"/>
    <w:next w:val="1"/>
    <w:qFormat/>
    <w:uiPriority w:val="0"/>
    <w:pPr>
      <w:widowControl/>
      <w:wordWrap w:val="0"/>
      <w:autoSpaceDE/>
      <w:autoSpaceDN/>
      <w:spacing w:before="0" w:after="0" w:line="240" w:lineRule="auto"/>
      <w:ind w:left="2975" w:firstLine="0"/>
      <w:jc w:val="both"/>
    </w:pPr>
    <w:rPr>
      <w:sz w:val="21"/>
      <w:szCs w:val="22"/>
    </w:rPr>
  </w:style>
  <w:style w:type="paragraph" w:styleId="10">
    <w:name w:val="Plain Text"/>
    <w:basedOn w:val="1"/>
    <w:qFormat/>
    <w:uiPriority w:val="0"/>
    <w:rPr>
      <w:rFonts w:ascii="宋体" w:hAnsi="Courier New" w:eastAsia="宋体" w:cs="Times New Roman"/>
      <w:szCs w:val="24"/>
    </w:rPr>
  </w:style>
  <w:style w:type="paragraph" w:styleId="11">
    <w:name w:val="Normal (Web)"/>
    <w:basedOn w:val="1"/>
    <w:qFormat/>
    <w:uiPriority w:val="0"/>
    <w:rPr>
      <w:sz w:val="24"/>
    </w:rPr>
  </w:style>
  <w:style w:type="paragraph" w:styleId="12">
    <w:name w:val="Body Text First Indent"/>
    <w:basedOn w:val="6"/>
    <w:next w:val="1"/>
    <w:qFormat/>
    <w:uiPriority w:val="0"/>
    <w:pPr>
      <w:ind w:firstLine="420" w:firstLineChars="100"/>
    </w:pPr>
  </w:style>
  <w:style w:type="paragraph" w:styleId="13">
    <w:name w:val="Body Text First Indent 2"/>
    <w:basedOn w:val="8"/>
    <w:next w:val="1"/>
    <w:qFormat/>
    <w:uiPriority w:val="0"/>
    <w:pPr>
      <w:ind w:firstLine="420" w:firstLineChars="200"/>
    </w:pPr>
    <w:rPr>
      <w:snapToGrid w:val="0"/>
      <w:kern w:val="0"/>
      <w:sz w:val="24"/>
      <w:szCs w:val="24"/>
    </w:rPr>
  </w:style>
  <w:style w:type="table" w:styleId="15">
    <w:name w:val="Table Grid"/>
    <w:basedOn w:val="1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Default"/>
    <w:basedOn w:val="20"/>
    <w:qFormat/>
    <w:uiPriority w:val="0"/>
    <w:pPr>
      <w:widowControl w:val="0"/>
      <w:autoSpaceDE w:val="0"/>
      <w:autoSpaceDN w:val="0"/>
      <w:adjustRightInd w:val="0"/>
    </w:pPr>
    <w:rPr>
      <w:rFonts w:ascii="宋体"/>
      <w:color w:val="000000"/>
      <w:sz w:val="24"/>
      <w:szCs w:val="22"/>
      <w:lang w:val="en-US" w:eastAsia="zh-CN" w:bidi="ar-SA"/>
    </w:rPr>
  </w:style>
  <w:style w:type="paragraph" w:customStyle="1" w:styleId="20">
    <w:name w:val="纯文本1"/>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21">
    <w:name w:val="标题2"/>
    <w:basedOn w:val="2"/>
    <w:qFormat/>
    <w:uiPriority w:val="0"/>
    <w:pPr>
      <w:numPr>
        <w:ilvl w:val="1"/>
        <w:numId w:val="1"/>
      </w:numPr>
      <w:spacing w:before="0" w:after="0" w:line="440" w:lineRule="exact"/>
    </w:pPr>
    <w:rPr>
      <w:kern w:val="0"/>
      <w:sz w:val="28"/>
    </w:rPr>
  </w:style>
  <w:style w:type="paragraph" w:customStyle="1" w:styleId="22">
    <w:name w:val="1正文段落"/>
    <w:basedOn w:val="1"/>
    <w:qFormat/>
    <w:uiPriority w:val="0"/>
    <w:pPr>
      <w:widowControl/>
      <w:spacing w:line="360" w:lineRule="auto"/>
      <w:ind w:firstLine="480" w:firstLineChars="200"/>
      <w:jc w:val="left"/>
    </w:pPr>
    <w:rPr>
      <w:rFonts w:ascii="宋体" w:hAnsi="宋体" w:cs="宋体"/>
      <w:snapToGrid w:val="0"/>
      <w:kern w:val="0"/>
      <w:sz w:val="24"/>
      <w:szCs w:val="24"/>
    </w:rPr>
  </w:style>
  <w:style w:type="paragraph" w:customStyle="1" w:styleId="23">
    <w:name w:val=" Char Char Char1 Char Char Char Char Char Char Char Char Char Char Char Char Char"/>
    <w:basedOn w:val="1"/>
    <w:qFormat/>
    <w:uiPriority w:val="0"/>
    <w:rPr>
      <w:rFonts w:ascii="Times New Roman" w:hAnsi="Times New Roman" w:eastAsia="宋体" w:cs="Times New Roman"/>
      <w:sz w:val="24"/>
    </w:rPr>
  </w:style>
  <w:style w:type="paragraph" w:customStyle="1" w:styleId="24">
    <w:name w:val="报告正文"/>
    <w:basedOn w:val="1"/>
    <w:semiHidden/>
    <w:qFormat/>
    <w:uiPriority w:val="0"/>
    <w:pPr>
      <w:spacing w:line="440" w:lineRule="exact"/>
      <w:ind w:firstLine="200" w:firstLineChars="200"/>
      <w:jc w:val="left"/>
    </w:pPr>
    <w:rPr>
      <w:rFonts w:eastAsia="仿宋_GB2312"/>
      <w:sz w:val="24"/>
    </w:rPr>
  </w:style>
  <w:style w:type="character" w:customStyle="1" w:styleId="25">
    <w:name w:val="批注文字 Char"/>
    <w:link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7462</Words>
  <Characters>8198</Characters>
  <Lines>1</Lines>
  <Paragraphs>1</Paragraphs>
  <TotalTime>1</TotalTime>
  <ScaleCrop>false</ScaleCrop>
  <LinksUpToDate>false</LinksUpToDate>
  <CharactersWithSpaces>8205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小刘小刘</cp:lastModifiedBy>
  <cp:lastPrinted>2025-05-18T05:56:00Z</cp:lastPrinted>
  <dcterms:modified xsi:type="dcterms:W3CDTF">2026-07-20T08:34:36Z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BCBE0AFC2A5F44D8826CD00553A101CD_13</vt:lpwstr>
  </property>
  <property fmtid="{D5CDD505-2E9C-101B-9397-08002B2CF9AE}" pid="4" name="KSOTemplateDocerSaveRecord">
    <vt:lpwstr>eyJoZGlkIjoiZWE3NDRlNjQyYjNlZTdiMmNlMjBkMWNhNTkzOTRkMTAiLCJ1c2VySWQiOiI0NDQzOTcwNDEifQ==</vt:lpwstr>
  </property>
</Properties>
</file>