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DF384">
      <w:pPr>
        <w:spacing w:line="360" w:lineRule="auto"/>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安吉伟德家具有限公司</w:t>
      </w:r>
    </w:p>
    <w:p w14:paraId="0C6DC9E0">
      <w:pPr>
        <w:spacing w:line="360" w:lineRule="auto"/>
        <w:jc w:val="center"/>
        <w:rPr>
          <w:rFonts w:hint="default"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val="en-US" w:eastAsia="zh-CN"/>
        </w:rPr>
        <w:t>年产100万套塑料家具配件项目</w:t>
      </w:r>
    </w:p>
    <w:p w14:paraId="503F8FC9">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14:paraId="0FC1E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00B0F0"/>
          <w:kern w:val="0"/>
          <w:sz w:val="24"/>
          <w:highlight w:val="none"/>
        </w:rPr>
        <w:t>20</w:t>
      </w:r>
      <w:r>
        <w:rPr>
          <w:rFonts w:hint="default" w:ascii="Times New Roman" w:hAnsi="Times New Roman" w:eastAsia="宋体" w:cs="Times New Roman"/>
          <w:color w:val="00B0F0"/>
          <w:kern w:val="0"/>
          <w:sz w:val="24"/>
          <w:highlight w:val="none"/>
          <w:lang w:val="en-US" w:eastAsia="zh-CN"/>
        </w:rPr>
        <w:t>2</w:t>
      </w:r>
      <w:r>
        <w:rPr>
          <w:rFonts w:hint="eastAsia" w:ascii="Times New Roman" w:hAnsi="Times New Roman" w:cs="Times New Roman"/>
          <w:color w:val="00B0F0"/>
          <w:kern w:val="0"/>
          <w:sz w:val="24"/>
          <w:highlight w:val="none"/>
          <w:lang w:val="en-US" w:eastAsia="zh-CN"/>
        </w:rPr>
        <w:t>5</w:t>
      </w:r>
      <w:r>
        <w:rPr>
          <w:rFonts w:hint="default" w:ascii="Times New Roman" w:hAnsi="Times New Roman" w:eastAsia="宋体" w:cs="Times New Roman"/>
          <w:color w:val="00B0F0"/>
          <w:kern w:val="0"/>
          <w:sz w:val="24"/>
          <w:highlight w:val="none"/>
        </w:rPr>
        <w:t>年</w:t>
      </w:r>
      <w:r>
        <w:rPr>
          <w:rFonts w:hint="eastAsia" w:ascii="Times New Roman" w:hAnsi="Times New Roman" w:cs="Times New Roman"/>
          <w:color w:val="00B0F0"/>
          <w:kern w:val="0"/>
          <w:sz w:val="24"/>
          <w:highlight w:val="none"/>
          <w:lang w:val="en-US" w:eastAsia="zh-CN"/>
        </w:rPr>
        <w:t>4</w:t>
      </w:r>
      <w:r>
        <w:rPr>
          <w:rFonts w:hint="default" w:ascii="Times New Roman" w:hAnsi="Times New Roman" w:eastAsia="宋体" w:cs="Times New Roman"/>
          <w:color w:val="00B0F0"/>
          <w:kern w:val="0"/>
          <w:sz w:val="24"/>
          <w:highlight w:val="none"/>
        </w:rPr>
        <w:t>月</w:t>
      </w:r>
      <w:r>
        <w:rPr>
          <w:rFonts w:hint="eastAsia" w:ascii="Times New Roman" w:hAnsi="Times New Roman" w:cs="Times New Roman"/>
          <w:color w:val="00B0F0"/>
          <w:kern w:val="0"/>
          <w:sz w:val="24"/>
          <w:highlight w:val="none"/>
          <w:lang w:val="en-US" w:eastAsia="zh-CN"/>
        </w:rPr>
        <w:t>17</w:t>
      </w:r>
      <w:r>
        <w:rPr>
          <w:rFonts w:hint="default" w:ascii="Times New Roman" w:hAnsi="Times New Roman" w:eastAsia="宋体" w:cs="Times New Roman"/>
          <w:color w:val="00B0F0"/>
          <w:kern w:val="0"/>
          <w:sz w:val="24"/>
          <w:highlight w:val="none"/>
        </w:rPr>
        <w:t>日</w:t>
      </w:r>
      <w:r>
        <w:rPr>
          <w:rFonts w:hint="default" w:ascii="Times New Roman" w:hAnsi="Times New Roman" w:eastAsia="宋体" w:cs="Times New Roman"/>
          <w:color w:val="auto"/>
          <w:kern w:val="0"/>
          <w:sz w:val="24"/>
          <w:highlight w:val="none"/>
        </w:rPr>
        <w:t>，建设单位</w:t>
      </w:r>
      <w:r>
        <w:rPr>
          <w:rFonts w:hint="eastAsia" w:ascii="Times New Roman" w:hAnsi="Times New Roman" w:cs="Times New Roman"/>
          <w:color w:val="auto"/>
          <w:sz w:val="24"/>
          <w:szCs w:val="24"/>
          <w:highlight w:val="none"/>
          <w:lang w:val="en-US" w:eastAsia="zh-CN"/>
        </w:rPr>
        <w:t>安吉伟德家具有限公司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安吉伟德家具有限公司年产100万套塑料家具配件项目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》，并对照《建设项目竣工环境保护验收暂行办法》，严格依照国家有关法律法规、建设项目竣工环境保护验收技术规范、项目环境影响</w:t>
      </w:r>
      <w:r>
        <w:rPr>
          <w:rFonts w:hint="eastAsia" w:ascii="Times New Roman" w:hAnsi="Times New Roman" w:cs="Times New Roman"/>
          <w:color w:val="auto"/>
          <w:kern w:val="0"/>
          <w:sz w:val="24"/>
          <w:highlight w:val="none"/>
          <w:lang w:val="en-US" w:eastAsia="zh-CN"/>
        </w:rPr>
        <w:t>登记</w:t>
      </w:r>
      <w:r>
        <w:rPr>
          <w:rFonts w:hint="default" w:ascii="Times New Roman" w:hAnsi="Times New Roman" w:eastAsia="宋体" w:cs="Times New Roman"/>
          <w:color w:val="auto"/>
          <w:kern w:val="0"/>
          <w:sz w:val="24"/>
          <w:highlight w:val="none"/>
        </w:rPr>
        <w:t>表和</w:t>
      </w:r>
      <w:r>
        <w:rPr>
          <w:rFonts w:hint="eastAsia" w:ascii="Times New Roman" w:hAnsi="Times New Roman" w:cs="Times New Roman"/>
          <w:color w:val="auto"/>
          <w:kern w:val="0"/>
          <w:sz w:val="24"/>
          <w:highlight w:val="none"/>
          <w:lang w:val="en-US" w:eastAsia="zh-CN"/>
        </w:rPr>
        <w:t>批复</w:t>
      </w:r>
      <w:r>
        <w:rPr>
          <w:rFonts w:hint="default" w:ascii="Times New Roman" w:hAnsi="Times New Roman" w:eastAsia="宋体" w:cs="Times New Roman"/>
          <w:color w:val="auto"/>
          <w:sz w:val="24"/>
          <w:highlight w:val="none"/>
          <w:lang w:val="en-US" w:eastAsia="zh-CN"/>
        </w:rPr>
        <w:t>意见</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安吉伟德家具有限公司年产100万套塑料家具配件项目（以下简称本项目）</w:t>
      </w:r>
      <w:r>
        <w:rPr>
          <w:rFonts w:hint="default" w:ascii="Times New Roman" w:hAnsi="Times New Roman" w:eastAsia="宋体" w:cs="Times New Roman"/>
          <w:color w:val="auto"/>
          <w:kern w:val="0"/>
          <w:sz w:val="24"/>
          <w:highlight w:val="none"/>
        </w:rPr>
        <w:t>进行验收，提出意见如下：</w:t>
      </w:r>
    </w:p>
    <w:p w14:paraId="7E7EDC97">
      <w:pPr>
        <w:numPr>
          <w:ilvl w:val="0"/>
          <w:numId w:val="1"/>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14:paraId="0C37C252">
      <w:pPr>
        <w:spacing w:line="360" w:lineRule="auto"/>
        <w:ind w:firstLine="48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企业拟投资750万元，租赁路联高新材料有限公司内2500平方米的闲置厂房组织生产，购置注塑机、烘干机、粉碎机等设备，项目完成后预计形成年产100万套塑料家具配件的生产能力。为严格履行环境影响评价制度，企业于2024年12月委托</w:t>
      </w:r>
      <w:bookmarkStart w:id="0" w:name="OLE_LINK13"/>
      <w:r>
        <w:rPr>
          <w:rFonts w:hint="eastAsia" w:ascii="Times New Roman" w:hAnsi="Times New Roman"/>
          <w:color w:val="auto"/>
          <w:sz w:val="24"/>
          <w:highlight w:val="none"/>
          <w:lang w:val="en-US" w:eastAsia="zh-CN"/>
        </w:rPr>
        <w:t>浙江仕远环境科技有限公司编制完成了</w:t>
      </w:r>
      <w:bookmarkEnd w:id="0"/>
      <w:r>
        <w:rPr>
          <w:rFonts w:hint="eastAsia" w:ascii="Times New Roman" w:hAnsi="Times New Roman"/>
          <w:color w:val="auto"/>
          <w:sz w:val="24"/>
          <w:highlight w:val="none"/>
          <w:lang w:val="en-US" w:eastAsia="zh-CN"/>
        </w:rPr>
        <w:t>《安吉伟德家具有限公司年产100万套塑料家具配件项目环境影响登记表》，并于2024年12月20日通过了湖州市生态环境局安吉分局的备案，备案号为：33052320240081。企业于2025年3月委托浙江仕远环境科技有限公司编制完成了《安吉伟德家具有限公司突发环境事件应急预案（简本）》，于2025年3月21日通过安吉县环境应急与事故调查中心备案，备案编号为330523-2025-041-L。企业已完成固定污染源排污登记，登记编号为：91330523MAD22FKP63001Y。</w:t>
      </w:r>
    </w:p>
    <w:p w14:paraId="72DD9EEC">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本项目于2024年12月21日开工建设进行设备安装，于2024年12月31日竣工，于2024年12月31日进行设备调试，调试后进入试生产阶段。本项目实际总投资750万元，其中环保投资25万元，约占项目总投资的3.3％。</w:t>
      </w:r>
    </w:p>
    <w:p w14:paraId="3FE6995D">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kern w:val="0"/>
          <w:sz w:val="24"/>
          <w:highlight w:val="none"/>
          <w:lang w:val="en-US" w:eastAsia="zh-CN"/>
        </w:rPr>
        <w:t>企业</w:t>
      </w:r>
      <w:r>
        <w:rPr>
          <w:rFonts w:hint="default" w:ascii="Times New Roman" w:hAnsi="Times New Roman" w:eastAsia="宋体" w:cs="Times New Roman"/>
          <w:color w:val="auto"/>
          <w:kern w:val="0"/>
          <w:sz w:val="24"/>
          <w:highlight w:val="none"/>
        </w:rPr>
        <w:t>于202</w:t>
      </w:r>
      <w:r>
        <w:rPr>
          <w:rFonts w:hint="eastAsia" w:ascii="Times New Roman" w:hAnsi="Times New Roman"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月组织验收工作事宜，企业委托</w:t>
      </w:r>
      <w:r>
        <w:rPr>
          <w:rFonts w:hint="eastAsia" w:ascii="Times New Roman" w:hAnsi="Times New Roman" w:eastAsia="宋体" w:cs="Times New Roman"/>
          <w:color w:val="auto"/>
          <w:sz w:val="24"/>
          <w:szCs w:val="24"/>
          <w:highlight w:val="none"/>
          <w:lang w:val="en-US" w:eastAsia="zh-CN"/>
        </w:rPr>
        <w:t>湖州天亿环境检测有限公司</w:t>
      </w:r>
      <w:r>
        <w:rPr>
          <w:rFonts w:hint="eastAsia" w:ascii="Times New Roman" w:hAnsi="Times New Roman" w:cs="Times New Roman"/>
          <w:color w:val="auto"/>
          <w:sz w:val="24"/>
          <w:szCs w:val="24"/>
          <w:highlight w:val="none"/>
          <w:lang w:val="en-US" w:eastAsia="zh-CN"/>
        </w:rPr>
        <w:t>于2025年3月24日-2025年3月27日</w:t>
      </w:r>
      <w:r>
        <w:rPr>
          <w:rFonts w:hint="default" w:ascii="Times New Roman" w:hAnsi="Times New Roman" w:eastAsia="宋体" w:cs="Times New Roman"/>
          <w:color w:val="auto"/>
          <w:kern w:val="0"/>
          <w:sz w:val="24"/>
          <w:highlight w:val="none"/>
        </w:rPr>
        <w:t>对本项目进行了环境保护设施验收监测，</w:t>
      </w:r>
      <w:r>
        <w:rPr>
          <w:rFonts w:hint="default" w:ascii="Times New Roman" w:hAnsi="Times New Roman" w:eastAsia="宋体"/>
          <w:color w:val="auto"/>
          <w:sz w:val="24"/>
          <w:highlight w:val="none"/>
          <w:lang w:val="en-US" w:eastAsia="zh-CN"/>
        </w:rPr>
        <w:t>通过对该工程</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三同时</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执行情况和效果的检查并依据监测结果及相应的国家有关环境标准，</w:t>
      </w:r>
      <w:r>
        <w:rPr>
          <w:rFonts w:hint="eastAsia" w:ascii="Times New Roman" w:hAnsi="Times New Roman"/>
          <w:color w:val="auto"/>
          <w:sz w:val="24"/>
          <w:highlight w:val="none"/>
          <w:lang w:val="en-US" w:eastAsia="zh-CN"/>
        </w:rPr>
        <w:t>于2025年4月</w:t>
      </w:r>
      <w:r>
        <w:rPr>
          <w:rFonts w:hint="default" w:ascii="Times New Roman" w:hAnsi="Times New Roman" w:eastAsia="宋体"/>
          <w:color w:val="auto"/>
          <w:sz w:val="24"/>
          <w:highlight w:val="none"/>
          <w:lang w:val="en-US" w:eastAsia="zh-CN"/>
        </w:rPr>
        <w:t>编制了本项目竣工环境保护验收监测报告</w:t>
      </w:r>
      <w:r>
        <w:rPr>
          <w:rFonts w:hint="eastAsia" w:ascii="Times New Roman" w:hAnsi="Times New Roman" w:eastAsia="宋体"/>
          <w:color w:val="auto"/>
          <w:sz w:val="24"/>
          <w:highlight w:val="none"/>
          <w:lang w:val="en-US" w:eastAsia="zh-CN"/>
        </w:rPr>
        <w:t>表</w:t>
      </w:r>
      <w:r>
        <w:rPr>
          <w:rFonts w:hint="default" w:ascii="Times New Roman" w:hAnsi="Times New Roman" w:eastAsia="宋体"/>
          <w:color w:val="auto"/>
          <w:sz w:val="24"/>
          <w:highlight w:val="none"/>
          <w:lang w:val="en-US" w:eastAsia="zh-CN"/>
        </w:rPr>
        <w:t>。</w:t>
      </w:r>
    </w:p>
    <w:p w14:paraId="0812877D">
      <w:pPr>
        <w:keepNext w:val="0"/>
        <w:keepLines w:val="0"/>
        <w:suppressLineNumbers w:val="0"/>
        <w:shd w:val="clear"/>
        <w:spacing w:before="0" w:beforeAutospacing="0" w:after="0" w:afterAutospacing="0" w:line="360" w:lineRule="auto"/>
        <w:ind w:left="0" w:right="0" w:firstLine="480" w:firstLineChars="200"/>
        <w:rPr>
          <w:rFonts w:hint="default" w:ascii="Times New Roman" w:hAnsi="Times New Roman" w:eastAsia="宋体"/>
          <w:color w:val="auto"/>
          <w:sz w:val="24"/>
          <w:highlight w:val="none"/>
        </w:rPr>
      </w:pPr>
      <w:r>
        <w:rPr>
          <w:rFonts w:hint="eastAsia" w:ascii="Times New Roman" w:hAnsi="Times New Roman"/>
          <w:color w:val="auto"/>
          <w:sz w:val="24"/>
          <w:highlight w:val="none"/>
          <w:lang w:val="en-US" w:eastAsia="zh-CN"/>
        </w:rPr>
        <w:t>本次针对</w:t>
      </w:r>
      <w:r>
        <w:rPr>
          <w:rFonts w:hint="default" w:ascii="Times New Roman" w:hAnsi="Times New Roman" w:eastAsia="宋体"/>
          <w:color w:val="auto"/>
          <w:sz w:val="24"/>
          <w:highlight w:val="none"/>
        </w:rPr>
        <w:t>企业在产的</w:t>
      </w:r>
      <w:r>
        <w:rPr>
          <w:rFonts w:hint="eastAsia" w:ascii="Times New Roman" w:hAnsi="Times New Roman"/>
          <w:color w:val="auto"/>
          <w:sz w:val="24"/>
          <w:highlight w:val="none"/>
          <w:lang w:val="en-US" w:eastAsia="zh-CN"/>
        </w:rPr>
        <w:t>年产100万套塑料家具配件项目及其配套工程、环保工程进行竣工环境保护“三同时”验收</w:t>
      </w:r>
      <w:r>
        <w:rPr>
          <w:rFonts w:hint="default" w:ascii="Times New Roman" w:hAnsi="Times New Roman" w:eastAsia="宋体"/>
          <w:color w:val="auto"/>
          <w:kern w:val="0"/>
          <w:sz w:val="24"/>
          <w:highlight w:val="none"/>
        </w:rPr>
        <w:t>。</w:t>
      </w:r>
    </w:p>
    <w:p w14:paraId="32E0328B">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14:paraId="7CCD4D13">
      <w:pPr>
        <w:spacing w:line="360" w:lineRule="auto"/>
        <w:ind w:firstLine="480" w:firstLineChars="200"/>
        <w:outlineLvl w:val="0"/>
        <w:rPr>
          <w:rFonts w:hint="eastAsia" w:ascii="Times New Roman" w:hAnsi="Times New Roman" w:eastAsia="宋体" w:cs="Times New Roman"/>
          <w:b w:val="0"/>
          <w:bCs/>
          <w:color w:val="auto"/>
          <w:kern w:val="0"/>
          <w:sz w:val="24"/>
          <w:szCs w:val="24"/>
          <w:highlight w:val="none"/>
          <w:lang w:eastAsia="zh-CN"/>
        </w:rPr>
      </w:pPr>
      <w:bookmarkStart w:id="1" w:name="_Toc498412723"/>
      <w:bookmarkStart w:id="2" w:name="_Toc498700049"/>
      <w:bookmarkStart w:id="3" w:name="_Toc498351802"/>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cs="Times New Roman"/>
          <w:b w:val="0"/>
          <w:bCs/>
          <w:color w:val="auto"/>
          <w:kern w:val="0"/>
          <w:sz w:val="24"/>
          <w:szCs w:val="24"/>
          <w:highlight w:val="none"/>
          <w:lang w:eastAsia="zh-CN"/>
        </w:rPr>
        <w:t>，</w:t>
      </w:r>
      <w:r>
        <w:rPr>
          <w:rFonts w:hint="eastAsia" w:ascii="Times New Roman" w:hAnsi="Times New Roman" w:cs="Times New Roman"/>
          <w:b w:val="0"/>
          <w:bCs/>
          <w:color w:val="auto"/>
          <w:kern w:val="0"/>
          <w:sz w:val="24"/>
          <w:szCs w:val="24"/>
          <w:highlight w:val="none"/>
          <w:lang w:val="en-US" w:eastAsia="zh-CN"/>
        </w:rPr>
        <w:t>主要变动情况如下</w:t>
      </w:r>
      <w:r>
        <w:rPr>
          <w:rFonts w:hint="eastAsia" w:ascii="Times New Roman" w:hAnsi="Times New Roman" w:eastAsia="宋体" w:cs="Times New Roman"/>
          <w:b w:val="0"/>
          <w:bCs/>
          <w:color w:val="auto"/>
          <w:kern w:val="0"/>
          <w:sz w:val="24"/>
          <w:szCs w:val="24"/>
          <w:highlight w:val="none"/>
          <w:lang w:eastAsia="zh-CN"/>
        </w:rPr>
        <w:t>：</w:t>
      </w:r>
    </w:p>
    <w:p w14:paraId="79224AA5">
      <w:pPr>
        <w:spacing w:line="360" w:lineRule="auto"/>
        <w:ind w:firstLine="480" w:firstLineChars="200"/>
        <w:outlineLvl w:val="0"/>
        <w:rPr>
          <w:rFonts w:hint="default" w:ascii="Times New Roman" w:hAnsi="Times New Roman" w:cs="Times New Roman"/>
          <w:b w:val="0"/>
          <w:bCs/>
          <w:color w:val="00B0F0"/>
          <w:sz w:val="24"/>
          <w:szCs w:val="24"/>
          <w:highlight w:val="none"/>
          <w:lang w:val="en-US" w:eastAsia="zh-CN"/>
        </w:rPr>
      </w:pPr>
      <w:r>
        <w:rPr>
          <w:rFonts w:hint="eastAsia" w:ascii="Times New Roman" w:hAnsi="Times New Roman" w:cs="Times New Roman"/>
          <w:b w:val="0"/>
          <w:bCs/>
          <w:color w:val="00B0F0"/>
          <w:sz w:val="24"/>
          <w:szCs w:val="24"/>
          <w:highlight w:val="none"/>
          <w:lang w:val="en-US" w:eastAsia="zh-CN"/>
        </w:rPr>
        <w:t>1、PP粒子（聚丙烯树脂）、PA粒子（聚酰胺树脂）、ABS、色粉、色母（加了颜料的PP粒子）用量增加，未增大30%及以上，满足相关环保要求。其余生产、处置或储存能力在环评审批范围内。</w:t>
      </w:r>
    </w:p>
    <w:p w14:paraId="357EB625">
      <w:pPr>
        <w:spacing w:line="360" w:lineRule="auto"/>
        <w:ind w:firstLine="480" w:firstLineChars="200"/>
        <w:outlineLvl w:val="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2、建设地点与环评审批一致；</w:t>
      </w:r>
      <w:bookmarkStart w:id="4" w:name="OLE_LINK16"/>
      <w:r>
        <w:rPr>
          <w:rFonts w:hint="eastAsia" w:ascii="Times New Roman" w:hAnsi="Times New Roman" w:cs="Times New Roman"/>
          <w:b w:val="0"/>
          <w:bCs/>
          <w:color w:val="auto"/>
          <w:sz w:val="24"/>
          <w:szCs w:val="24"/>
          <w:highlight w:val="none"/>
          <w:lang w:val="en-US" w:eastAsia="zh-CN"/>
        </w:rPr>
        <w:t>总平面布置与环评审批部分不一致，变化如下：环评审批车间内由北向南、由西向东依次为注塑区、原料堆放区、危废仓库、空压机、粉碎机、成品暂存区、办公室、一般固废仓库及固废分拣中心。冷却塔位于车间外东南侧；实际车间内由北向南、由西向东依次为办公区、一般固废仓库及固废分拣中心、成品堆放区、注塑区、模具堆放区、原料堆放区、粉碎区、空压机区。危废仓库位于车间外西北侧，冷却塔位于车间外西侧。总建筑面积与环评审批一致。上述变化未导致环境防护距离范围变化且新增敏感点的情况。</w:t>
      </w:r>
      <w:bookmarkEnd w:id="4"/>
    </w:p>
    <w:p w14:paraId="6092D06B">
      <w:pPr>
        <w:spacing w:line="360" w:lineRule="auto"/>
        <w:ind w:firstLine="480" w:firstLineChars="200"/>
        <w:outlineLvl w:val="0"/>
        <w:rPr>
          <w:rFonts w:hint="eastAsia" w:ascii="Times New Roman" w:hAnsi="Times New Roman"/>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3、注塑废气污染防治由环评审批的二级活性炭处理强化为干式过滤+二级活性炭处理，属于污染防治措施强化或改进。废水污染防治未发生变化。</w:t>
      </w:r>
    </w:p>
    <w:p w14:paraId="6D169C2F">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olor w:val="auto"/>
          <w:kern w:val="0"/>
          <w:sz w:val="24"/>
          <w:szCs w:val="24"/>
          <w:highlight w:val="none"/>
          <w:lang w:val="en-US" w:eastAsia="zh-CN"/>
        </w:rPr>
        <w:t>综上所述，</w:t>
      </w: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1"/>
      <w:bookmarkEnd w:id="2"/>
      <w:bookmarkEnd w:id="3"/>
    </w:p>
    <w:p w14:paraId="5571469F">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14:paraId="383E2C2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3"/>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本项目营运过程产生的废水主要是生活污水和冷却水。</w:t>
      </w:r>
    </w:p>
    <w:p w14:paraId="751565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生活污水：经化粪池预处理后，纳管至安吉净源污水处理有限公司城北污水处理厂集中处理，达标排放。</w:t>
      </w:r>
    </w:p>
    <w:p w14:paraId="71EA5F1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冷却水：经冷却塔冷却水后，暂存于冷却水池循环使用。</w:t>
      </w:r>
    </w:p>
    <w:p w14:paraId="3775F9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（二）废气：本项目营运过程产生的废气主要是注塑废气。</w:t>
      </w:r>
    </w:p>
    <w:p w14:paraId="008DC8A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注塑废气：在每台注塑机的注塑出口处设置密闭罩，收集后经干式过滤+二级活性炭吸附处理，尾气通过一根35m排气筒DA001排放。</w:t>
      </w:r>
    </w:p>
    <w:p w14:paraId="5E98A7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3"/>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项目主要噪声为各种生产设备运行产生的噪声</w:t>
      </w:r>
      <w:r>
        <w:rPr>
          <w:rFonts w:hint="eastAsia"/>
          <w:color w:val="auto"/>
          <w:sz w:val="24"/>
          <w:highlight w:val="none"/>
          <w:lang w:eastAsia="zh-CN"/>
        </w:rPr>
        <w:t>。</w:t>
      </w:r>
    </w:p>
    <w:p w14:paraId="6A44ED5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行两班制生产，厂区噪声源主要为生产设备及辅助设施运行噪声，通过选用噪声低、振动小的设备；对风机等高噪声设备加设减振垫；合理布置设备位置；车间安装隔声门窗，生产时关闭门窗；加强生产现场管理和设备养护，减少或降低人为噪声。</w:t>
      </w:r>
    </w:p>
    <w:p w14:paraId="7AE76E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固废：本项目营运过程产生的固体废物可分为生活垃圾、一般固废和危险废物。</w:t>
      </w:r>
    </w:p>
    <w:p w14:paraId="7FB69D5B">
      <w:pPr>
        <w:keepNext w:val="0"/>
        <w:keepLines w:val="0"/>
        <w:widowControl w:val="0"/>
        <w:suppressLineNumbers w:val="0"/>
        <w:autoSpaceDE w:val="0"/>
        <w:autoSpaceDN/>
        <w:spacing w:before="0" w:beforeAutospacing="0" w:after="0" w:afterLines="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本项目一般固废仓库位于</w:t>
      </w:r>
      <w:r>
        <w:rPr>
          <w:rFonts w:hint="eastAsia" w:ascii="Times New Roman" w:hAnsi="Times New Roman" w:cs="宋体"/>
          <w:color w:val="auto"/>
          <w:kern w:val="2"/>
          <w:sz w:val="24"/>
          <w:szCs w:val="24"/>
          <w:lang w:val="en-US" w:eastAsia="zh-CN" w:bidi="ar"/>
        </w:rPr>
        <w:t>车间北侧</w:t>
      </w:r>
      <w:r>
        <w:rPr>
          <w:rFonts w:hint="eastAsia" w:ascii="Times New Roman" w:hAnsi="Times New Roman" w:eastAsia="宋体" w:cs="宋体"/>
          <w:color w:val="auto"/>
          <w:kern w:val="2"/>
          <w:sz w:val="24"/>
          <w:szCs w:val="24"/>
          <w:lang w:val="en-US" w:eastAsia="zh-CN" w:bidi="ar"/>
        </w:rPr>
        <w:t>，</w:t>
      </w:r>
      <w:r>
        <w:rPr>
          <w:rFonts w:hint="eastAsia" w:ascii="Times New Roman" w:hAnsi="Times New Roman" w:eastAsia="宋体" w:cs="宋体"/>
          <w:color w:val="00B0F0"/>
          <w:kern w:val="2"/>
          <w:sz w:val="24"/>
          <w:szCs w:val="24"/>
          <w:lang w:val="en-US" w:eastAsia="zh-CN" w:bidi="ar"/>
        </w:rPr>
        <w:t>存放收集的粉尘、塑料边角料、废塑料袋，</w:t>
      </w:r>
      <w:r>
        <w:rPr>
          <w:rFonts w:hint="default" w:ascii="Times New Roman" w:hAnsi="Times New Roman" w:eastAsia="宋体" w:cs="Times New Roman"/>
          <w:color w:val="auto"/>
          <w:kern w:val="2"/>
          <w:sz w:val="24"/>
          <w:szCs w:val="24"/>
          <w:lang w:val="en-US" w:eastAsia="zh-CN" w:bidi="ar"/>
        </w:rPr>
        <w:t>暂存点为水泥地面，能做到防扬散、防流失、防止雨水的冲刷及防渗漏等相关要求，各类一般废物定置分类存放；</w:t>
      </w:r>
    </w:p>
    <w:p w14:paraId="2087458E">
      <w:pPr>
        <w:keepNext w:val="0"/>
        <w:keepLines w:val="0"/>
        <w:widowControl w:val="0"/>
        <w:suppressLineNumbers w:val="0"/>
        <w:autoSpaceDE w:val="0"/>
        <w:autoSpaceDN/>
        <w:spacing w:before="0" w:beforeAutospacing="0" w:after="0" w:afterLines="0" w:afterAutospacing="0" w:line="360" w:lineRule="auto"/>
        <w:ind w:left="0" w:leftChars="0" w:right="0" w:firstLine="480" w:firstLineChars="200"/>
        <w:jc w:val="both"/>
        <w:rPr>
          <w:rFonts w:hint="eastAsia" w:ascii="Times New Roman" w:hAnsi="Times New Roman" w:eastAsia="宋体" w:cs="宋体"/>
          <w:color w:val="auto"/>
          <w:kern w:val="2"/>
          <w:sz w:val="24"/>
          <w:szCs w:val="24"/>
          <w:lang w:val="en-US" w:eastAsia="zh-CN" w:bidi="ar"/>
        </w:rPr>
      </w:pPr>
      <w:r>
        <w:rPr>
          <w:rFonts w:hint="default" w:ascii="Times New Roman" w:hAnsi="Times New Roman" w:eastAsia="宋体" w:cs="Times New Roman"/>
          <w:color w:val="auto"/>
          <w:sz w:val="24"/>
          <w:szCs w:val="24"/>
          <w:lang w:val="en-US" w:eastAsia="zh-CN"/>
        </w:rPr>
        <w:t>本项目危废仓库设置于</w:t>
      </w:r>
      <w:r>
        <w:rPr>
          <w:rFonts w:hint="eastAsia" w:ascii="Times New Roman" w:hAnsi="Times New Roman" w:cs="Times New Roman"/>
          <w:color w:val="auto"/>
          <w:sz w:val="24"/>
          <w:szCs w:val="24"/>
          <w:lang w:val="en-US" w:eastAsia="zh-CN"/>
        </w:rPr>
        <w:t>车间西北</w:t>
      </w:r>
      <w:r>
        <w:rPr>
          <w:rFonts w:hint="default" w:ascii="Times New Roman" w:hAnsi="Times New Roman" w:eastAsia="宋体" w:cs="Times New Roman"/>
          <w:color w:val="auto"/>
          <w:sz w:val="24"/>
          <w:szCs w:val="24"/>
          <w:lang w:val="en-US" w:eastAsia="zh-CN"/>
        </w:rPr>
        <w:t>侧单独的密闭房间内，存放</w:t>
      </w:r>
      <w:r>
        <w:rPr>
          <w:rFonts w:hint="default" w:ascii="Times New Roman" w:hAnsi="Times New Roman" w:eastAsia="宋体" w:cs="Times New Roman"/>
          <w:color w:val="auto"/>
          <w:spacing w:val="9"/>
          <w:sz w:val="24"/>
          <w:szCs w:val="24"/>
          <w:lang w:val="en-US" w:eastAsia="zh-CN"/>
        </w:rPr>
        <w:t>废液压油、废液压油桶、废活性炭、废过滤棉</w:t>
      </w:r>
      <w:r>
        <w:rPr>
          <w:rFonts w:hint="default" w:ascii="Times New Roman" w:hAnsi="Times New Roman" w:eastAsia="宋体" w:cs="Times New Roman"/>
          <w:color w:val="auto"/>
          <w:sz w:val="24"/>
          <w:szCs w:val="24"/>
          <w:lang w:val="en-US" w:eastAsia="zh-CN"/>
        </w:rPr>
        <w:t>，面积约</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。危险废物集中收集后在危废仓库暂存，定期交由安吉智慧供销科技服务有限公司等资质单位安全处置。危废库具备防腐防渗、防雨淋等措施，可以有效防止二次污染，规范建立了危废台账。</w:t>
      </w:r>
    </w:p>
    <w:p w14:paraId="7F677352">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（五）环境风险防范措施：针对可能产生的环境风险，企业设立了事故应急指挥领导小组，并定期开展演练，同时配备了相应的应急物资，包括灭火器，急救箱等。</w:t>
      </w:r>
      <w:bookmarkStart w:id="5" w:name="_GoBack"/>
      <w:bookmarkEnd w:id="5"/>
    </w:p>
    <w:p w14:paraId="151FDE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14:paraId="1C193513">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天亿检测（2025）检304号、天亿检测（2025）检309号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14:paraId="4D65052A">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14:paraId="283DC1D5">
      <w:pPr>
        <w:pStyle w:val="7"/>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14:paraId="58CE7796">
      <w:pPr>
        <w:pStyle w:val="7"/>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14:paraId="19F9BD2E">
      <w:pPr>
        <w:pStyle w:val="7"/>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14:paraId="76E4E01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污染物去除效率根据废气处理设施进出口检测数据计算，得到项目配备废气处理设施对排气筒污染物的去除效率，具体见下表。</w:t>
      </w:r>
    </w:p>
    <w:p w14:paraId="243C2E9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 xml:space="preserve">1  </w:t>
      </w:r>
      <w:r>
        <w:rPr>
          <w:rFonts w:hint="default" w:ascii="Times New Roman" w:hAnsi="Times New Roman" w:eastAsia="宋体" w:cs="Times New Roman"/>
          <w:b/>
          <w:bCs/>
          <w:color w:val="auto"/>
          <w:kern w:val="2"/>
          <w:sz w:val="21"/>
          <w:szCs w:val="21"/>
          <w:highlight w:val="none"/>
          <w:lang w:val="en-US" w:eastAsia="zh-CN" w:bidi="ar-SA"/>
        </w:rPr>
        <w:t>废气处理效果一览表</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566"/>
        <w:gridCol w:w="1373"/>
        <w:gridCol w:w="1427"/>
        <w:gridCol w:w="1614"/>
        <w:gridCol w:w="1330"/>
        <w:gridCol w:w="1180"/>
      </w:tblGrid>
      <w:tr w14:paraId="3109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3" w:type="dxa"/>
            <w:vMerge w:val="restart"/>
            <w:vAlign w:val="center"/>
          </w:tcPr>
          <w:p w14:paraId="262EBFF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排气筒编号</w:t>
            </w:r>
          </w:p>
        </w:tc>
        <w:tc>
          <w:tcPr>
            <w:tcW w:w="1567" w:type="dxa"/>
            <w:vMerge w:val="restart"/>
            <w:vAlign w:val="center"/>
          </w:tcPr>
          <w:p w14:paraId="79CF94D0">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废气处理设施</w:t>
            </w:r>
          </w:p>
        </w:tc>
        <w:tc>
          <w:tcPr>
            <w:tcW w:w="1373" w:type="dxa"/>
            <w:vMerge w:val="restart"/>
            <w:vAlign w:val="center"/>
          </w:tcPr>
          <w:p w14:paraId="4E7C299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检测日期</w:t>
            </w:r>
          </w:p>
        </w:tc>
        <w:tc>
          <w:tcPr>
            <w:tcW w:w="1427" w:type="dxa"/>
            <w:vMerge w:val="restart"/>
            <w:vAlign w:val="center"/>
          </w:tcPr>
          <w:p w14:paraId="1C5934F9">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污染物</w:t>
            </w:r>
          </w:p>
        </w:tc>
        <w:tc>
          <w:tcPr>
            <w:tcW w:w="1614" w:type="dxa"/>
            <w:vAlign w:val="center"/>
          </w:tcPr>
          <w:p w14:paraId="5749D41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进口</w:t>
            </w:r>
          </w:p>
        </w:tc>
        <w:tc>
          <w:tcPr>
            <w:tcW w:w="1330" w:type="dxa"/>
            <w:vAlign w:val="center"/>
          </w:tcPr>
          <w:p w14:paraId="42EBC9E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出口</w:t>
            </w:r>
          </w:p>
        </w:tc>
        <w:tc>
          <w:tcPr>
            <w:tcW w:w="1180" w:type="dxa"/>
            <w:vMerge w:val="restart"/>
            <w:vAlign w:val="center"/>
          </w:tcPr>
          <w:p w14:paraId="735E17E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去除效率</w:t>
            </w:r>
          </w:p>
        </w:tc>
      </w:tr>
      <w:tr w14:paraId="5ABD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3" w:type="dxa"/>
            <w:vMerge w:val="continue"/>
            <w:vAlign w:val="center"/>
          </w:tcPr>
          <w:p w14:paraId="448A3F2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567" w:type="dxa"/>
            <w:vMerge w:val="continue"/>
            <w:vAlign w:val="center"/>
          </w:tcPr>
          <w:p w14:paraId="4DE71E2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373" w:type="dxa"/>
            <w:vMerge w:val="continue"/>
            <w:vAlign w:val="center"/>
          </w:tcPr>
          <w:p w14:paraId="471D5FD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427" w:type="dxa"/>
            <w:vMerge w:val="continue"/>
            <w:vAlign w:val="center"/>
          </w:tcPr>
          <w:p w14:paraId="3B07352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614" w:type="dxa"/>
            <w:vAlign w:val="center"/>
          </w:tcPr>
          <w:p w14:paraId="7ACF8AF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330" w:type="dxa"/>
            <w:vAlign w:val="center"/>
          </w:tcPr>
          <w:p w14:paraId="0A59DD8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180" w:type="dxa"/>
            <w:vMerge w:val="continue"/>
            <w:vAlign w:val="center"/>
          </w:tcPr>
          <w:p w14:paraId="6E1E91D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r>
      <w:tr w14:paraId="133A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3" w:type="dxa"/>
            <w:vMerge w:val="restart"/>
            <w:vAlign w:val="center"/>
          </w:tcPr>
          <w:p w14:paraId="147E17B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DA001</w:t>
            </w:r>
          </w:p>
        </w:tc>
        <w:tc>
          <w:tcPr>
            <w:tcW w:w="1567" w:type="dxa"/>
            <w:vMerge w:val="restart"/>
            <w:vAlign w:val="center"/>
          </w:tcPr>
          <w:p w14:paraId="73965D9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干式过滤+两级活性炭吸附装置</w:t>
            </w:r>
          </w:p>
        </w:tc>
        <w:tc>
          <w:tcPr>
            <w:tcW w:w="1373" w:type="dxa"/>
            <w:vAlign w:val="center"/>
          </w:tcPr>
          <w:p w14:paraId="635B90A5">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202</w:t>
            </w:r>
            <w:r>
              <w:rPr>
                <w:rFonts w:hint="eastAsia" w:ascii="Times New Roman" w:hAnsi="Times New Roman" w:cs="Times New Roman"/>
                <w:color w:val="auto"/>
                <w:highlight w:val="none"/>
                <w:vertAlign w:val="baseline"/>
                <w:lang w:val="en-US" w:eastAsia="zh-CN"/>
              </w:rPr>
              <w:t>5.3.24</w:t>
            </w:r>
          </w:p>
        </w:tc>
        <w:tc>
          <w:tcPr>
            <w:tcW w:w="1427" w:type="dxa"/>
            <w:vAlign w:val="center"/>
          </w:tcPr>
          <w:p w14:paraId="632D423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非甲烷总烃</w:t>
            </w:r>
          </w:p>
        </w:tc>
        <w:tc>
          <w:tcPr>
            <w:tcW w:w="1614" w:type="dxa"/>
            <w:shd w:val="clear" w:color="auto" w:fill="auto"/>
            <w:vAlign w:val="center"/>
          </w:tcPr>
          <w:p w14:paraId="1AC8A69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2.95</w:t>
            </w:r>
            <w:r>
              <w:rPr>
                <w:rFonts w:hint="eastAsia" w:ascii="Times New Roman" w:hAnsi="Times New Roman" w:eastAsia="宋体" w:cs="Times New Roman"/>
                <w:color w:val="auto"/>
                <w:spacing w:val="0"/>
                <w:kern w:val="2"/>
                <w:position w:val="0"/>
                <w:sz w:val="21"/>
                <w:szCs w:val="21"/>
                <w:highlight w:val="none"/>
                <w:lang w:val="en-US" w:eastAsia="zh-CN" w:bidi="ar"/>
              </w:rPr>
              <w:t>*10</w:t>
            </w:r>
            <w:r>
              <w:rPr>
                <w:rFonts w:hint="eastAsia" w:ascii="Times New Roman" w:hAnsi="Times New Roman" w:eastAsia="宋体" w:cs="Times New Roman"/>
                <w:color w:val="auto"/>
                <w:spacing w:val="0"/>
                <w:kern w:val="2"/>
                <w:position w:val="0"/>
                <w:sz w:val="21"/>
                <w:szCs w:val="21"/>
                <w:highlight w:val="none"/>
                <w:vertAlign w:val="superscript"/>
                <w:lang w:val="en-US" w:eastAsia="zh-CN" w:bidi="ar"/>
              </w:rPr>
              <w:t>-2</w:t>
            </w:r>
          </w:p>
        </w:tc>
        <w:tc>
          <w:tcPr>
            <w:tcW w:w="1330" w:type="dxa"/>
            <w:shd w:val="clear" w:color="auto" w:fill="auto"/>
            <w:vAlign w:val="center"/>
          </w:tcPr>
          <w:p w14:paraId="0B267D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7.47</w:t>
            </w:r>
            <w:r>
              <w:rPr>
                <w:rFonts w:hint="eastAsia" w:ascii="Times New Roman" w:hAnsi="Times New Roman" w:eastAsia="宋体" w:cs="Times New Roman"/>
                <w:color w:val="auto"/>
                <w:spacing w:val="0"/>
                <w:kern w:val="2"/>
                <w:position w:val="0"/>
                <w:sz w:val="21"/>
                <w:szCs w:val="21"/>
                <w:highlight w:val="none"/>
                <w:lang w:val="en-US" w:eastAsia="zh-CN" w:bidi="ar"/>
              </w:rPr>
              <w:t>*10</w:t>
            </w:r>
            <w:r>
              <w:rPr>
                <w:rFonts w:hint="eastAsia" w:ascii="Times New Roman" w:hAnsi="Times New Roman" w:eastAsia="宋体" w:cs="Times New Roman"/>
                <w:color w:val="auto"/>
                <w:spacing w:val="0"/>
                <w:kern w:val="2"/>
                <w:position w:val="0"/>
                <w:sz w:val="21"/>
                <w:szCs w:val="21"/>
                <w:highlight w:val="none"/>
                <w:vertAlign w:val="superscript"/>
                <w:lang w:val="en-US" w:eastAsia="zh-CN" w:bidi="ar"/>
              </w:rPr>
              <w:t>-3</w:t>
            </w:r>
          </w:p>
        </w:tc>
        <w:tc>
          <w:tcPr>
            <w:tcW w:w="1180" w:type="dxa"/>
            <w:shd w:val="clear" w:color="auto" w:fill="auto"/>
            <w:vAlign w:val="center"/>
          </w:tcPr>
          <w:p w14:paraId="1981D9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cs="Times New Roman"/>
                <w:color w:val="auto"/>
                <w:spacing w:val="0"/>
                <w:kern w:val="2"/>
                <w:position w:val="0"/>
                <w:sz w:val="21"/>
                <w:szCs w:val="21"/>
                <w:highlight w:val="none"/>
                <w:lang w:val="en-US" w:eastAsia="zh-CN" w:bidi="ar"/>
              </w:rPr>
              <w:t>74.7%</w:t>
            </w:r>
          </w:p>
        </w:tc>
      </w:tr>
      <w:tr w14:paraId="771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3" w:type="dxa"/>
            <w:vMerge w:val="continue"/>
            <w:vAlign w:val="center"/>
          </w:tcPr>
          <w:p w14:paraId="311D5657">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highlight w:val="none"/>
                <w:vertAlign w:val="baseline"/>
                <w:lang w:val="en-US" w:eastAsia="zh-CN"/>
              </w:rPr>
            </w:pPr>
          </w:p>
        </w:tc>
        <w:tc>
          <w:tcPr>
            <w:tcW w:w="1567" w:type="dxa"/>
            <w:vMerge w:val="continue"/>
            <w:vAlign w:val="center"/>
          </w:tcPr>
          <w:p w14:paraId="177AE2F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1373" w:type="dxa"/>
            <w:vAlign w:val="center"/>
          </w:tcPr>
          <w:p w14:paraId="238C34CF">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202</w:t>
            </w:r>
            <w:r>
              <w:rPr>
                <w:rFonts w:hint="eastAsia" w:ascii="Times New Roman" w:hAnsi="Times New Roman" w:cs="Times New Roman"/>
                <w:color w:val="auto"/>
                <w:highlight w:val="none"/>
                <w:vertAlign w:val="baseline"/>
                <w:lang w:val="en-US" w:eastAsia="zh-CN"/>
              </w:rPr>
              <w:t>5.3.25</w:t>
            </w:r>
          </w:p>
        </w:tc>
        <w:tc>
          <w:tcPr>
            <w:tcW w:w="1427" w:type="dxa"/>
            <w:vAlign w:val="center"/>
          </w:tcPr>
          <w:p w14:paraId="2D9CCF4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非甲烷总烃</w:t>
            </w:r>
          </w:p>
        </w:tc>
        <w:tc>
          <w:tcPr>
            <w:tcW w:w="1614" w:type="dxa"/>
            <w:shd w:val="clear" w:color="auto" w:fill="auto"/>
            <w:vAlign w:val="center"/>
          </w:tcPr>
          <w:p w14:paraId="0BDABD7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3.79</w:t>
            </w:r>
            <w:r>
              <w:rPr>
                <w:rFonts w:hint="eastAsia" w:ascii="Times New Roman" w:hAnsi="Times New Roman" w:eastAsia="宋体" w:cs="Times New Roman"/>
                <w:color w:val="auto"/>
                <w:spacing w:val="0"/>
                <w:kern w:val="2"/>
                <w:position w:val="0"/>
                <w:sz w:val="21"/>
                <w:szCs w:val="21"/>
                <w:highlight w:val="none"/>
                <w:lang w:val="en-US" w:eastAsia="zh-CN" w:bidi="ar"/>
              </w:rPr>
              <w:t>*10</w:t>
            </w:r>
            <w:r>
              <w:rPr>
                <w:rFonts w:hint="eastAsia" w:ascii="Times New Roman" w:hAnsi="Times New Roman" w:eastAsia="宋体" w:cs="Times New Roman"/>
                <w:color w:val="auto"/>
                <w:spacing w:val="0"/>
                <w:kern w:val="2"/>
                <w:position w:val="0"/>
                <w:sz w:val="21"/>
                <w:szCs w:val="21"/>
                <w:highlight w:val="none"/>
                <w:vertAlign w:val="superscript"/>
                <w:lang w:val="en-US" w:eastAsia="zh-CN" w:bidi="ar"/>
              </w:rPr>
              <w:t>-2</w:t>
            </w:r>
          </w:p>
        </w:tc>
        <w:tc>
          <w:tcPr>
            <w:tcW w:w="1330" w:type="dxa"/>
            <w:shd w:val="clear" w:color="auto" w:fill="auto"/>
            <w:vAlign w:val="center"/>
          </w:tcPr>
          <w:p w14:paraId="7C30156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7.55</w:t>
            </w:r>
            <w:r>
              <w:rPr>
                <w:rFonts w:hint="eastAsia" w:ascii="Times New Roman" w:hAnsi="Times New Roman" w:eastAsia="宋体" w:cs="Times New Roman"/>
                <w:color w:val="auto"/>
                <w:spacing w:val="0"/>
                <w:kern w:val="2"/>
                <w:position w:val="0"/>
                <w:sz w:val="21"/>
                <w:szCs w:val="21"/>
                <w:highlight w:val="none"/>
                <w:lang w:val="en-US" w:eastAsia="zh-CN" w:bidi="ar"/>
              </w:rPr>
              <w:t>*10</w:t>
            </w:r>
            <w:r>
              <w:rPr>
                <w:rFonts w:hint="eastAsia" w:ascii="Times New Roman" w:hAnsi="Times New Roman" w:eastAsia="宋体" w:cs="Times New Roman"/>
                <w:color w:val="auto"/>
                <w:spacing w:val="0"/>
                <w:kern w:val="2"/>
                <w:position w:val="0"/>
                <w:sz w:val="21"/>
                <w:szCs w:val="21"/>
                <w:highlight w:val="none"/>
                <w:vertAlign w:val="superscript"/>
                <w:lang w:val="en-US" w:eastAsia="zh-CN" w:bidi="ar"/>
              </w:rPr>
              <w:t>-3</w:t>
            </w:r>
          </w:p>
        </w:tc>
        <w:tc>
          <w:tcPr>
            <w:tcW w:w="1180" w:type="dxa"/>
            <w:shd w:val="clear" w:color="auto" w:fill="auto"/>
            <w:vAlign w:val="center"/>
          </w:tcPr>
          <w:p w14:paraId="764E29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cs="Times New Roman"/>
                <w:color w:val="auto"/>
                <w:spacing w:val="0"/>
                <w:kern w:val="2"/>
                <w:position w:val="0"/>
                <w:sz w:val="21"/>
                <w:szCs w:val="21"/>
                <w:highlight w:val="none"/>
                <w:lang w:val="en-US" w:eastAsia="zh-CN" w:bidi="ar"/>
              </w:rPr>
              <w:t>80.1%</w:t>
            </w:r>
          </w:p>
        </w:tc>
      </w:tr>
    </w:tbl>
    <w:p w14:paraId="12FBA25C">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14:paraId="66E9EE7B">
      <w:pPr>
        <w:pStyle w:val="7"/>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项目厂界西、北侧昼夜间噪声排放满足《工业企业厂界环境噪声排放标准》（GB12348-2008）中的3类标准。（本项目东侧紧邻安吉好德家具有限公司，南侧紧邻安吉德腾家居有限公司，故本项目验收检测仅测西、北侧噪声。）</w:t>
      </w:r>
    </w:p>
    <w:p w14:paraId="3CC088B7">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14:paraId="4B937A03">
      <w:pPr>
        <w:pStyle w:val="7"/>
        <w:spacing w:line="360" w:lineRule="auto"/>
        <w:ind w:firstLine="360" w:firstLineChars="150"/>
        <w:rPr>
          <w:rFonts w:hint="eastAsia" w:ascii="Times New Roman" w:hAnsi="Times New Roman" w:cs="Times New Roman"/>
          <w:color w:val="FF0000"/>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00B0F0"/>
          <w:kern w:val="0"/>
          <w:sz w:val="24"/>
          <w:highlight w:val="none"/>
          <w:lang w:val="en-US" w:eastAsia="zh-CN"/>
        </w:rPr>
        <w:t>生活垃圾、收集的粉尘集中收集后委托当地环卫部门清运处理；塑料边角料破碎后大部分回用，少量外售给废旧物资回收单位；废塑料袋集中收集后出售给废旧物资回收单位</w:t>
      </w:r>
      <w:r>
        <w:rPr>
          <w:rFonts w:hint="eastAsia" w:ascii="Times New Roman" w:hAnsi="Times New Roman" w:cs="Times New Roman"/>
          <w:color w:val="auto"/>
          <w:kern w:val="0"/>
          <w:sz w:val="24"/>
          <w:highlight w:val="none"/>
          <w:lang w:val="en-US" w:eastAsia="zh-CN"/>
        </w:rPr>
        <w:t>；废液压油、废液压油桶、废活性炭、废过滤棉在集中收集后委托安吉智慧供销科技服务有限公司等资质单位处置。</w:t>
      </w:r>
    </w:p>
    <w:p w14:paraId="15FBFDA3">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14:paraId="4796FA7A">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（1）噪声污染物排放评价</w:t>
      </w:r>
    </w:p>
    <w:p w14:paraId="5C42B46A">
      <w:pPr>
        <w:spacing w:line="360" w:lineRule="auto"/>
        <w:ind w:firstLine="480" w:firstLineChars="200"/>
        <w:rPr>
          <w:rFonts w:ascii="Times New Roman" w:hAnsi="Times New Roman" w:eastAsia="宋体"/>
          <w:color w:val="auto"/>
          <w:kern w:val="0"/>
          <w:sz w:val="24"/>
          <w:highlight w:val="none"/>
        </w:rPr>
      </w:pPr>
      <w:r>
        <w:rPr>
          <w:rFonts w:hint="default" w:ascii="Times New Roman" w:hAnsi="Times New Roman" w:eastAsia="宋体"/>
          <w:color w:val="auto"/>
          <w:kern w:val="0"/>
          <w:sz w:val="24"/>
          <w:highlight w:val="none"/>
          <w:lang w:val="en-US" w:eastAsia="zh-CN"/>
        </w:rPr>
        <w:t>项目验收监测期间，由检测结果可知，本项目厂界西、北侧昼夜间噪声排放满足《工业企业厂界环境噪声排放标准》（GB12348-2008）中的3类标准。（本项目东侧紧邻安吉好德家具有限公司，南侧紧邻安吉德腾家居有限公司，故本项目验收检测仅测西、北侧噪声。）</w:t>
      </w:r>
    </w:p>
    <w:p w14:paraId="68798927">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2）废气污染物排放评价</w:t>
      </w:r>
    </w:p>
    <w:p w14:paraId="6584D4A3">
      <w:pPr>
        <w:spacing w:line="360" w:lineRule="auto"/>
        <w:ind w:firstLine="360" w:firstLineChars="15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非甲烷总烃、苯乙烯、丙烯腈、1,3-丁二烯、甲苯、乙苯、氨有组织排放浓度满足《合成树脂工业污染物排放标准》（GB31572-2015）及修改单表5中的大气污染物特别排放限值；臭气浓度有组织排放满足《湖州市塑料行业废气整治规范》（湖环发[2018]31号）的相关标准要求。</w:t>
      </w:r>
    </w:p>
    <w:p w14:paraId="6B2A2265">
      <w:pPr>
        <w:spacing w:line="360" w:lineRule="auto"/>
        <w:ind w:firstLine="360" w:firstLineChars="15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厂界非甲烷总烃、甲苯无组织排放浓度满足《合成树脂工业污染物排放标准》（GB31572-2015）及修改单表9中的企业边界大气污染物浓度限值，丙烯腈、1,3-丁二烯、乙苯无组织排放待国家颁布相关限值后执行，苯乙烯、氨无组织排放满足《恶臭污染物排放标准》（GB14554-93）表1中的厂界标准值；臭气浓度无组织排放满足《恶臭污染物排放标准》（GB14554-93）表1中的厂界标准值；非甲烷总烃厂区内无组织排放浓度满足《挥发性有机物无组织排放控制标准》（GB37822-2019）表A.1中的特别排放限值。</w:t>
      </w:r>
    </w:p>
    <w:p w14:paraId="356BF457">
      <w:pPr>
        <w:spacing w:line="360" w:lineRule="auto"/>
        <w:ind w:firstLine="360" w:firstLineChars="150"/>
        <w:rPr>
          <w:rFonts w:hint="default" w:ascii="Times New Roman" w:hAnsi="Times New Roman" w:eastAsia="宋体"/>
          <w:color w:val="auto"/>
          <w:sz w:val="24"/>
          <w:szCs w:val="32"/>
          <w:highlight w:val="none"/>
          <w:lang w:val="en-US" w:eastAsia="zh-CN"/>
        </w:rPr>
      </w:pPr>
      <w:r>
        <w:rPr>
          <w:rFonts w:hint="default" w:ascii="Times New Roman" w:hAnsi="Times New Roman" w:eastAsia="宋体"/>
          <w:color w:val="auto"/>
          <w:sz w:val="24"/>
          <w:szCs w:val="32"/>
          <w:highlight w:val="none"/>
          <w:lang w:val="en-US" w:eastAsia="zh-CN"/>
        </w:rPr>
        <w:t>注：苯乙烯、丙烯腈、1,3-丁二烯、甲苯、乙苯、氨因产生量少，故环评无定量分析，本次验收不纳入验收检测内容。</w:t>
      </w:r>
    </w:p>
    <w:p w14:paraId="5A37792A">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3）废水污染物排放评价</w:t>
      </w:r>
    </w:p>
    <w:p w14:paraId="4E471B6B">
      <w:pPr>
        <w:spacing w:line="360" w:lineRule="auto"/>
        <w:ind w:firstLine="360" w:firstLineChars="15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项目验收监测期间，由检测结果可知，本项目生活污水排放口中pH值、化学需氧量、氨氮排放浓度满足安吉净源污水处理有限公司城北污水处理厂</w:t>
      </w:r>
      <w:r>
        <w:rPr>
          <w:rFonts w:hint="eastAsia" w:ascii="Times New Roman" w:hAnsi="Times New Roman" w:cs="Times New Roman"/>
          <w:color w:val="auto"/>
          <w:sz w:val="24"/>
          <w:szCs w:val="24"/>
          <w:highlight w:val="none"/>
          <w:lang w:val="en-US" w:eastAsia="zh-CN"/>
        </w:rPr>
        <w:t>接</w:t>
      </w:r>
      <w:r>
        <w:rPr>
          <w:rFonts w:hint="default" w:ascii="Times New Roman" w:hAnsi="Times New Roman" w:eastAsia="宋体" w:cs="Times New Roman"/>
          <w:color w:val="auto"/>
          <w:sz w:val="24"/>
          <w:szCs w:val="24"/>
          <w:highlight w:val="none"/>
          <w:lang w:val="en-US" w:eastAsia="zh-CN"/>
        </w:rPr>
        <w:t>管标准。</w:t>
      </w:r>
    </w:p>
    <w:p w14:paraId="614C9BF1">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14:paraId="02B45CAF">
      <w:pPr>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项目涉及总量控制污染物为</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-N、VOCs</w:t>
      </w:r>
      <w:r>
        <w:rPr>
          <w:rFonts w:ascii="Times New Roman" w:hAnsi="Times New Roman" w:eastAsia="宋体"/>
          <w:color w:val="auto"/>
          <w:sz w:val="24"/>
          <w:szCs w:val="24"/>
          <w:highlight w:val="none"/>
        </w:rPr>
        <w:t>。</w:t>
      </w:r>
    </w:p>
    <w:p w14:paraId="494143A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根据</w:t>
      </w:r>
      <w:r>
        <w:rPr>
          <w:rFonts w:hint="eastAsia" w:ascii="Times New Roman" w:hAnsi="Times New Roman" w:eastAsia="宋体" w:cs="Times New Roman"/>
          <w:color w:val="auto"/>
          <w:kern w:val="2"/>
          <w:sz w:val="24"/>
          <w:szCs w:val="24"/>
          <w:highlight w:val="none"/>
          <w:lang w:val="en-US" w:eastAsia="zh-CN" w:bidi="ar"/>
        </w:rPr>
        <w:t>企业</w:t>
      </w:r>
      <w:r>
        <w:rPr>
          <w:rFonts w:hint="default" w:ascii="Times New Roman" w:hAnsi="Times New Roman" w:eastAsia="宋体" w:cs="Times New Roman"/>
          <w:color w:val="auto"/>
          <w:kern w:val="2"/>
          <w:sz w:val="24"/>
          <w:szCs w:val="24"/>
          <w:highlight w:val="none"/>
          <w:lang w:val="en-US" w:eastAsia="zh-CN" w:bidi="ar"/>
        </w:rPr>
        <w:t>的生产情况和验收监测结果，核算实际主要污染物排放总量控制指标COD</w:t>
      </w:r>
      <w:r>
        <w:rPr>
          <w:rFonts w:hint="default" w:ascii="Times New Roman" w:hAnsi="Times New Roman" w:eastAsia="宋体" w:cs="Times New Roman"/>
          <w:color w:val="auto"/>
          <w:kern w:val="2"/>
          <w:sz w:val="24"/>
          <w:szCs w:val="24"/>
          <w:highlight w:val="none"/>
          <w:vertAlign w:val="subscript"/>
          <w:lang w:val="en-US" w:eastAsia="zh-CN" w:bidi="ar"/>
        </w:rPr>
        <w:t>Cr</w:t>
      </w:r>
      <w:r>
        <w:rPr>
          <w:rFonts w:hint="default" w:ascii="Times New Roman" w:hAnsi="Times New Roman" w:eastAsia="宋体" w:cs="Times New Roman"/>
          <w:color w:val="auto"/>
          <w:kern w:val="2"/>
          <w:sz w:val="24"/>
          <w:szCs w:val="24"/>
          <w:highlight w:val="none"/>
          <w:lang w:val="en-US" w:eastAsia="zh-CN" w:bidi="ar"/>
        </w:rPr>
        <w:t>、NH</w:t>
      </w:r>
      <w:r>
        <w:rPr>
          <w:rFonts w:hint="default" w:ascii="Times New Roman" w:hAnsi="Times New Roman" w:eastAsia="宋体" w:cs="Times New Roman"/>
          <w:color w:val="auto"/>
          <w:kern w:val="2"/>
          <w:sz w:val="24"/>
          <w:szCs w:val="24"/>
          <w:highlight w:val="none"/>
          <w:vertAlign w:val="sub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-N</w:t>
      </w:r>
      <w:r>
        <w:rPr>
          <w:rFonts w:hint="eastAsia" w:ascii="Times New Roman" w:hAnsi="Times New Roman" w:eastAsia="宋体"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挥发性有机物（VOCs）排放总量，具体见下表。</w:t>
      </w:r>
    </w:p>
    <w:p w14:paraId="1376E93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 xml:space="preserve">  实际污染物排放总量控制指标核算表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48"/>
        <w:gridCol w:w="1548"/>
        <w:gridCol w:w="1379"/>
        <w:gridCol w:w="1379"/>
        <w:gridCol w:w="2760"/>
      </w:tblGrid>
      <w:tr w14:paraId="0EB1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noWrap w:val="0"/>
            <w:vAlign w:val="center"/>
          </w:tcPr>
          <w:p w14:paraId="15D00CE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rPr>
            </w:pPr>
            <w:r>
              <w:rPr>
                <w:rFonts w:hint="default" w:ascii="Times New Roman" w:hAnsi="Times New Roman" w:eastAsia="宋体" w:cs="Times New Roman"/>
                <w:b/>
                <w:bCs w:val="0"/>
                <w:color w:val="auto"/>
                <w:spacing w:val="0"/>
                <w:position w:val="0"/>
                <w:sz w:val="21"/>
                <w:szCs w:val="21"/>
                <w:highlight w:val="none"/>
              </w:rPr>
              <w:t>类别</w:t>
            </w:r>
          </w:p>
        </w:tc>
        <w:tc>
          <w:tcPr>
            <w:tcW w:w="1571" w:type="pct"/>
            <w:gridSpan w:val="2"/>
            <w:noWrap w:val="0"/>
            <w:vAlign w:val="center"/>
          </w:tcPr>
          <w:p w14:paraId="3E6A1FA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rPr>
            </w:pPr>
            <w:r>
              <w:rPr>
                <w:rFonts w:hint="default" w:ascii="Times New Roman" w:hAnsi="Times New Roman" w:eastAsia="宋体" w:cs="Times New Roman"/>
                <w:b/>
                <w:bCs w:val="0"/>
                <w:color w:val="auto"/>
                <w:spacing w:val="0"/>
                <w:position w:val="0"/>
                <w:sz w:val="21"/>
                <w:szCs w:val="21"/>
                <w:highlight w:val="none"/>
              </w:rPr>
              <w:t>总量控制指标名称</w:t>
            </w:r>
          </w:p>
        </w:tc>
        <w:tc>
          <w:tcPr>
            <w:tcW w:w="1399" w:type="pct"/>
            <w:gridSpan w:val="2"/>
            <w:noWrap w:val="0"/>
            <w:vAlign w:val="center"/>
          </w:tcPr>
          <w:p w14:paraId="7A2CEDC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lang w:val="en-US" w:eastAsia="zh-CN"/>
              </w:rPr>
            </w:pPr>
            <w:r>
              <w:rPr>
                <w:rFonts w:hint="default" w:ascii="Times New Roman" w:hAnsi="Times New Roman" w:eastAsia="宋体" w:cs="Times New Roman"/>
                <w:b/>
                <w:bCs w:val="0"/>
                <w:color w:val="auto"/>
                <w:spacing w:val="0"/>
                <w:position w:val="0"/>
                <w:sz w:val="21"/>
                <w:szCs w:val="21"/>
                <w:highlight w:val="none"/>
                <w:lang w:val="en-US" w:eastAsia="zh-CN"/>
              </w:rPr>
              <w:t>审批排放量</w:t>
            </w:r>
            <w:r>
              <w:rPr>
                <w:rFonts w:hint="default" w:ascii="Times New Roman" w:hAnsi="Times New Roman" w:eastAsia="宋体" w:cs="Times New Roman"/>
                <w:b/>
                <w:bCs w:val="0"/>
                <w:color w:val="auto"/>
                <w:spacing w:val="0"/>
                <w:position w:val="0"/>
                <w:sz w:val="21"/>
                <w:szCs w:val="21"/>
                <w:highlight w:val="none"/>
              </w:rPr>
              <w:t>（t/a）</w:t>
            </w:r>
          </w:p>
        </w:tc>
        <w:tc>
          <w:tcPr>
            <w:tcW w:w="1400" w:type="pct"/>
            <w:noWrap w:val="0"/>
            <w:vAlign w:val="center"/>
          </w:tcPr>
          <w:p w14:paraId="5C0B16B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lang w:val="en-US" w:eastAsia="zh-CN"/>
              </w:rPr>
            </w:pPr>
            <w:r>
              <w:rPr>
                <w:rFonts w:hint="default" w:ascii="Times New Roman" w:hAnsi="Times New Roman" w:eastAsia="宋体" w:cs="Times New Roman"/>
                <w:b/>
                <w:bCs w:val="0"/>
                <w:color w:val="auto"/>
                <w:spacing w:val="0"/>
                <w:position w:val="0"/>
                <w:sz w:val="21"/>
                <w:szCs w:val="21"/>
                <w:highlight w:val="none"/>
                <w:lang w:val="en-US" w:eastAsia="zh-CN"/>
              </w:rPr>
              <w:t>实际排放量（t/a）</w:t>
            </w:r>
          </w:p>
        </w:tc>
      </w:tr>
      <w:tr w14:paraId="0972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vMerge w:val="restart"/>
            <w:noWrap w:val="0"/>
            <w:vAlign w:val="center"/>
          </w:tcPr>
          <w:p w14:paraId="04CF0AA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lang w:eastAsia="zh-CN"/>
              </w:rPr>
              <w:t>废水</w:t>
            </w:r>
          </w:p>
        </w:tc>
        <w:tc>
          <w:tcPr>
            <w:tcW w:w="1571" w:type="pct"/>
            <w:gridSpan w:val="2"/>
            <w:noWrap w:val="0"/>
            <w:vAlign w:val="center"/>
          </w:tcPr>
          <w:p w14:paraId="13A78F6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lang w:eastAsia="zh-CN"/>
              </w:rPr>
              <w:t>水量</w:t>
            </w:r>
          </w:p>
        </w:tc>
        <w:tc>
          <w:tcPr>
            <w:tcW w:w="1399" w:type="pct"/>
            <w:gridSpan w:val="2"/>
            <w:shd w:val="clear" w:color="auto" w:fill="auto"/>
            <w:noWrap w:val="0"/>
            <w:vAlign w:val="center"/>
          </w:tcPr>
          <w:p w14:paraId="6335D9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
                <w:position w:val="0"/>
                <w:sz w:val="21"/>
                <w:szCs w:val="21"/>
                <w:highlight w:val="none"/>
                <w:lang w:val="en-US" w:eastAsia="zh-CN" w:bidi="ar"/>
              </w:rPr>
              <w:t>240</w:t>
            </w:r>
          </w:p>
        </w:tc>
        <w:tc>
          <w:tcPr>
            <w:tcW w:w="1400" w:type="pct"/>
            <w:shd w:val="clear" w:color="auto" w:fill="auto"/>
            <w:noWrap w:val="0"/>
            <w:vAlign w:val="center"/>
          </w:tcPr>
          <w:p w14:paraId="6B796E2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cs="Times New Roman"/>
                <w:color w:val="auto"/>
                <w:spacing w:val="0"/>
                <w:kern w:val="2"/>
                <w:position w:val="0"/>
                <w:sz w:val="21"/>
                <w:szCs w:val="21"/>
                <w:highlight w:val="none"/>
                <w:lang w:val="en-US" w:eastAsia="zh-CN" w:bidi="ar"/>
              </w:rPr>
              <w:t>240</w:t>
            </w:r>
          </w:p>
        </w:tc>
      </w:tr>
      <w:tr w14:paraId="71A0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vMerge w:val="continue"/>
            <w:noWrap w:val="0"/>
            <w:vAlign w:val="center"/>
          </w:tcPr>
          <w:p w14:paraId="6A4B3C2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1571" w:type="pct"/>
            <w:gridSpan w:val="2"/>
            <w:noWrap w:val="0"/>
            <w:vAlign w:val="center"/>
          </w:tcPr>
          <w:p w14:paraId="096FB92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rPr>
              <w:t>COD</w:t>
            </w:r>
            <w:r>
              <w:rPr>
                <w:rFonts w:hint="default" w:ascii="Times New Roman" w:hAnsi="Times New Roman" w:eastAsia="宋体" w:cs="Times New Roman"/>
                <w:b w:val="0"/>
                <w:bCs w:val="0"/>
                <w:color w:val="auto"/>
                <w:spacing w:val="0"/>
                <w:position w:val="0"/>
                <w:sz w:val="21"/>
                <w:szCs w:val="21"/>
                <w:highlight w:val="none"/>
                <w:vertAlign w:val="subscript"/>
              </w:rPr>
              <w:t>Cr</w:t>
            </w:r>
          </w:p>
        </w:tc>
        <w:tc>
          <w:tcPr>
            <w:tcW w:w="1399" w:type="pct"/>
            <w:gridSpan w:val="2"/>
            <w:shd w:val="clear" w:color="auto" w:fill="auto"/>
            <w:noWrap w:val="0"/>
            <w:vAlign w:val="center"/>
          </w:tcPr>
          <w:p w14:paraId="514CCB2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
                <w:position w:val="0"/>
                <w:sz w:val="21"/>
                <w:szCs w:val="21"/>
                <w:highlight w:val="none"/>
                <w:lang w:val="en-US" w:eastAsia="zh-CN" w:bidi="ar"/>
              </w:rPr>
              <w:t>0.010</w:t>
            </w:r>
          </w:p>
        </w:tc>
        <w:tc>
          <w:tcPr>
            <w:tcW w:w="1400" w:type="pct"/>
            <w:shd w:val="clear" w:color="auto" w:fill="auto"/>
            <w:noWrap w:val="0"/>
            <w:vAlign w:val="center"/>
          </w:tcPr>
          <w:p w14:paraId="4BE8A92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cs="Times New Roman"/>
                <w:color w:val="auto"/>
                <w:spacing w:val="0"/>
                <w:kern w:val="2"/>
                <w:position w:val="0"/>
                <w:sz w:val="21"/>
                <w:szCs w:val="21"/>
                <w:highlight w:val="none"/>
                <w:lang w:val="en-US" w:eastAsia="zh-CN" w:bidi="ar"/>
              </w:rPr>
              <w:t>0.010</w:t>
            </w:r>
          </w:p>
        </w:tc>
      </w:tr>
      <w:tr w14:paraId="228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vMerge w:val="continue"/>
            <w:noWrap w:val="0"/>
            <w:vAlign w:val="center"/>
          </w:tcPr>
          <w:p w14:paraId="59B2D35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1571" w:type="pct"/>
            <w:gridSpan w:val="2"/>
            <w:noWrap w:val="0"/>
            <w:vAlign w:val="center"/>
          </w:tcPr>
          <w:p w14:paraId="0680AA5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rPr>
              <w:t>NH</w:t>
            </w:r>
            <w:r>
              <w:rPr>
                <w:rFonts w:hint="default" w:ascii="Times New Roman" w:hAnsi="Times New Roman" w:eastAsia="宋体" w:cs="Times New Roman"/>
                <w:b w:val="0"/>
                <w:bCs w:val="0"/>
                <w:color w:val="auto"/>
                <w:spacing w:val="0"/>
                <w:position w:val="0"/>
                <w:sz w:val="21"/>
                <w:szCs w:val="21"/>
                <w:highlight w:val="none"/>
                <w:vertAlign w:val="subscript"/>
              </w:rPr>
              <w:t>3</w:t>
            </w:r>
            <w:r>
              <w:rPr>
                <w:rFonts w:hint="default" w:ascii="Times New Roman" w:hAnsi="Times New Roman" w:eastAsia="宋体" w:cs="Times New Roman"/>
                <w:b w:val="0"/>
                <w:bCs w:val="0"/>
                <w:color w:val="auto"/>
                <w:spacing w:val="0"/>
                <w:position w:val="0"/>
                <w:sz w:val="21"/>
                <w:szCs w:val="21"/>
                <w:highlight w:val="none"/>
              </w:rPr>
              <w:t>-N</w:t>
            </w:r>
          </w:p>
        </w:tc>
        <w:tc>
          <w:tcPr>
            <w:tcW w:w="1399" w:type="pct"/>
            <w:gridSpan w:val="2"/>
            <w:shd w:val="clear" w:color="auto" w:fill="auto"/>
            <w:noWrap w:val="0"/>
            <w:vAlign w:val="center"/>
          </w:tcPr>
          <w:p w14:paraId="5436E96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
                <w:position w:val="0"/>
                <w:sz w:val="21"/>
                <w:szCs w:val="21"/>
                <w:highlight w:val="none"/>
                <w:lang w:val="en-US" w:eastAsia="zh-CN" w:bidi="ar"/>
              </w:rPr>
              <w:t>0.001</w:t>
            </w:r>
          </w:p>
        </w:tc>
        <w:tc>
          <w:tcPr>
            <w:tcW w:w="1400" w:type="pct"/>
            <w:shd w:val="clear" w:color="auto" w:fill="auto"/>
            <w:noWrap w:val="0"/>
            <w:vAlign w:val="center"/>
          </w:tcPr>
          <w:p w14:paraId="6074F9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cs="Times New Roman"/>
                <w:color w:val="auto"/>
                <w:spacing w:val="0"/>
                <w:kern w:val="2"/>
                <w:position w:val="0"/>
                <w:sz w:val="21"/>
                <w:szCs w:val="21"/>
                <w:highlight w:val="none"/>
                <w:lang w:val="en-US" w:eastAsia="zh-CN" w:bidi="ar"/>
              </w:rPr>
              <w:t>0.001</w:t>
            </w:r>
          </w:p>
        </w:tc>
      </w:tr>
      <w:tr w14:paraId="13BC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vMerge w:val="restart"/>
            <w:noWrap w:val="0"/>
            <w:vAlign w:val="center"/>
          </w:tcPr>
          <w:p w14:paraId="585D1A2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lang w:val="en-US" w:eastAsia="zh-CN"/>
              </w:rPr>
              <w:t>废气</w:t>
            </w:r>
          </w:p>
        </w:tc>
        <w:tc>
          <w:tcPr>
            <w:tcW w:w="785" w:type="pct"/>
            <w:vMerge w:val="restart"/>
            <w:noWrap w:val="0"/>
            <w:vAlign w:val="center"/>
          </w:tcPr>
          <w:p w14:paraId="5D056D3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r>
              <w:rPr>
                <w:rFonts w:hint="default" w:ascii="Times New Roman" w:hAnsi="Times New Roman" w:eastAsia="宋体" w:cs="Times New Roman"/>
                <w:b w:val="0"/>
                <w:bCs w:val="0"/>
                <w:color w:val="auto"/>
                <w:spacing w:val="0"/>
                <w:position w:val="0"/>
                <w:sz w:val="21"/>
                <w:szCs w:val="21"/>
                <w:highlight w:val="none"/>
                <w:lang w:val="en-US" w:eastAsia="zh-CN"/>
              </w:rPr>
              <w:t>挥发性有机物（VOCs）</w:t>
            </w:r>
          </w:p>
        </w:tc>
        <w:tc>
          <w:tcPr>
            <w:tcW w:w="785" w:type="pct"/>
            <w:noWrap w:val="0"/>
            <w:vAlign w:val="center"/>
          </w:tcPr>
          <w:p w14:paraId="7DBD726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lang w:val="en-US" w:eastAsia="zh-CN"/>
              </w:rPr>
              <w:t>有组织</w:t>
            </w:r>
          </w:p>
        </w:tc>
        <w:tc>
          <w:tcPr>
            <w:tcW w:w="699" w:type="pct"/>
            <w:noWrap w:val="0"/>
            <w:vAlign w:val="center"/>
          </w:tcPr>
          <w:p w14:paraId="4312A98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eastAsia" w:ascii="Times New Roman" w:hAnsi="Times New Roman" w:eastAsia="宋体" w:cs="Times New Roman"/>
                <w:b w:val="0"/>
                <w:bCs w:val="0"/>
                <w:color w:val="auto"/>
                <w:spacing w:val="0"/>
                <w:position w:val="0"/>
                <w:sz w:val="21"/>
                <w:szCs w:val="21"/>
                <w:highlight w:val="none"/>
                <w:lang w:val="en-US" w:eastAsia="zh-CN"/>
              </w:rPr>
              <w:t>0.044</w:t>
            </w:r>
          </w:p>
        </w:tc>
        <w:tc>
          <w:tcPr>
            <w:tcW w:w="699" w:type="pct"/>
            <w:vMerge w:val="restart"/>
            <w:noWrap w:val="0"/>
            <w:vAlign w:val="center"/>
          </w:tcPr>
          <w:p w14:paraId="4AD6E98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w:t>
            </w:r>
            <w:r>
              <w:rPr>
                <w:rFonts w:hint="eastAsia" w:ascii="Times New Roman" w:hAnsi="Times New Roman" w:eastAsia="宋体" w:cs="Times New Roman"/>
                <w:color w:val="auto"/>
                <w:spacing w:val="0"/>
                <w:position w:val="0"/>
                <w:sz w:val="21"/>
                <w:szCs w:val="21"/>
                <w:highlight w:val="none"/>
                <w:lang w:val="en-US" w:eastAsia="zh-CN"/>
              </w:rPr>
              <w:t>077</w:t>
            </w:r>
          </w:p>
        </w:tc>
        <w:tc>
          <w:tcPr>
            <w:tcW w:w="1400" w:type="pct"/>
            <w:vMerge w:val="restart"/>
            <w:noWrap w:val="0"/>
            <w:vAlign w:val="center"/>
          </w:tcPr>
          <w:p w14:paraId="713D910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r>
              <w:rPr>
                <w:rFonts w:hint="eastAsia" w:ascii="Times New Roman" w:hAnsi="Times New Roman" w:eastAsia="宋体" w:cs="Times New Roman"/>
                <w:b w:val="0"/>
                <w:bCs w:val="0"/>
                <w:color w:val="auto"/>
                <w:spacing w:val="0"/>
                <w:position w:val="0"/>
                <w:sz w:val="21"/>
                <w:szCs w:val="21"/>
                <w:highlight w:val="none"/>
                <w:lang w:val="en-US" w:eastAsia="zh-CN"/>
              </w:rPr>
              <w:t>0.06</w:t>
            </w:r>
            <w:r>
              <w:rPr>
                <w:rFonts w:hint="eastAsia" w:ascii="Times New Roman" w:hAnsi="Times New Roman" w:cs="Times New Roman"/>
                <w:b w:val="0"/>
                <w:bCs w:val="0"/>
                <w:color w:val="auto"/>
                <w:spacing w:val="0"/>
                <w:position w:val="0"/>
                <w:sz w:val="21"/>
                <w:szCs w:val="21"/>
                <w:highlight w:val="none"/>
                <w:lang w:val="en-US" w:eastAsia="zh-CN"/>
              </w:rPr>
              <w:t>9</w:t>
            </w:r>
          </w:p>
        </w:tc>
      </w:tr>
      <w:tr w14:paraId="5261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vMerge w:val="continue"/>
            <w:noWrap w:val="0"/>
            <w:vAlign w:val="center"/>
          </w:tcPr>
          <w:p w14:paraId="065BB80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p>
        </w:tc>
        <w:tc>
          <w:tcPr>
            <w:tcW w:w="785" w:type="pct"/>
            <w:vMerge w:val="continue"/>
            <w:noWrap w:val="0"/>
            <w:vAlign w:val="center"/>
          </w:tcPr>
          <w:p w14:paraId="22E37D4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p>
        </w:tc>
        <w:tc>
          <w:tcPr>
            <w:tcW w:w="785" w:type="pct"/>
            <w:noWrap w:val="0"/>
            <w:vAlign w:val="center"/>
          </w:tcPr>
          <w:p w14:paraId="188C377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lang w:val="en-US" w:eastAsia="zh-CN"/>
              </w:rPr>
              <w:t>无组织</w:t>
            </w:r>
          </w:p>
        </w:tc>
        <w:tc>
          <w:tcPr>
            <w:tcW w:w="699" w:type="pct"/>
            <w:noWrap w:val="0"/>
            <w:vAlign w:val="center"/>
          </w:tcPr>
          <w:p w14:paraId="5D50245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ascii="Times New Roman" w:hAnsi="Times New Roman" w:eastAsia="宋体" w:cs="Times New Roman"/>
                <w:color w:val="auto"/>
                <w:spacing w:val="0"/>
                <w:position w:val="0"/>
                <w:sz w:val="21"/>
                <w:szCs w:val="21"/>
                <w:highlight w:val="none"/>
                <w:lang w:val="en-US" w:eastAsia="zh-CN"/>
              </w:rPr>
              <w:t>0.033</w:t>
            </w:r>
          </w:p>
        </w:tc>
        <w:tc>
          <w:tcPr>
            <w:tcW w:w="699" w:type="pct"/>
            <w:vMerge w:val="continue"/>
            <w:noWrap w:val="0"/>
            <w:vAlign w:val="center"/>
          </w:tcPr>
          <w:p w14:paraId="6548162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p>
        </w:tc>
        <w:tc>
          <w:tcPr>
            <w:tcW w:w="1400" w:type="pct"/>
            <w:vMerge w:val="continue"/>
            <w:noWrap w:val="0"/>
            <w:vAlign w:val="center"/>
          </w:tcPr>
          <w:p w14:paraId="22BF242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pacing w:val="0"/>
                <w:position w:val="0"/>
                <w:sz w:val="21"/>
                <w:szCs w:val="21"/>
                <w:highlight w:val="none"/>
                <w:lang w:val="en-US" w:eastAsia="zh-CN"/>
              </w:rPr>
            </w:pPr>
          </w:p>
        </w:tc>
      </w:tr>
      <w:tr w14:paraId="5B3E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14:paraId="25344907">
            <w:pPr>
              <w:keepNext w:val="0"/>
              <w:keepLines w:val="0"/>
              <w:suppressLineNumbers w:val="0"/>
              <w:spacing w:before="0" w:beforeAutospacing="0" w:after="0" w:afterAutospacing="0" w:line="240" w:lineRule="auto"/>
              <w:ind w:left="0" w:right="0"/>
              <w:jc w:val="both"/>
              <w:rPr>
                <w:rFonts w:hint="eastAsia" w:ascii="Times New Roman" w:hAnsi="Times New Roman" w:eastAsia="宋体" w:cs="Times New Roman"/>
                <w:b w:val="0"/>
                <w:bCs w:val="0"/>
                <w:color w:val="auto"/>
                <w:spacing w:val="0"/>
                <w:position w:val="0"/>
                <w:sz w:val="21"/>
                <w:szCs w:val="21"/>
                <w:highlight w:val="none"/>
                <w:lang w:val="en-US" w:eastAsia="zh-CN"/>
              </w:rPr>
            </w:pPr>
            <w:r>
              <w:rPr>
                <w:rFonts w:hint="default" w:ascii="Times New Roman" w:hAnsi="Times New Roman" w:eastAsia="宋体" w:cs="Times New Roman"/>
                <w:b w:val="0"/>
                <w:bCs w:val="0"/>
                <w:color w:val="auto"/>
                <w:spacing w:val="0"/>
                <w:position w:val="0"/>
                <w:sz w:val="21"/>
                <w:szCs w:val="21"/>
                <w:highlight w:val="none"/>
                <w:lang w:val="en-US" w:eastAsia="zh-CN"/>
              </w:rPr>
              <w:t>注</w:t>
            </w:r>
            <w:r>
              <w:rPr>
                <w:rFonts w:hint="eastAsia" w:ascii="Times New Roman" w:hAnsi="Times New Roman" w:eastAsia="宋体" w:cs="Times New Roman"/>
                <w:b w:val="0"/>
                <w:bCs w:val="0"/>
                <w:color w:val="auto"/>
                <w:spacing w:val="0"/>
                <w:position w:val="0"/>
                <w:sz w:val="21"/>
                <w:szCs w:val="21"/>
                <w:highlight w:val="none"/>
                <w:lang w:val="en-US" w:eastAsia="zh-CN"/>
              </w:rPr>
              <w:t>：1、挥发性有机物（VOCs）有组织0.03</w:t>
            </w:r>
            <w:r>
              <w:rPr>
                <w:rFonts w:hint="eastAsia" w:ascii="Times New Roman" w:hAnsi="Times New Roman" w:cs="Times New Roman"/>
                <w:b w:val="0"/>
                <w:bCs w:val="0"/>
                <w:color w:val="auto"/>
                <w:spacing w:val="0"/>
                <w:position w:val="0"/>
                <w:sz w:val="21"/>
                <w:szCs w:val="21"/>
                <w:highlight w:val="none"/>
                <w:lang w:val="en-US" w:eastAsia="zh-CN"/>
              </w:rPr>
              <w:t>6</w:t>
            </w:r>
            <w:r>
              <w:rPr>
                <w:rFonts w:hint="eastAsia" w:ascii="Times New Roman" w:hAnsi="Times New Roman" w:eastAsia="宋体" w:cs="Times New Roman"/>
                <w:b w:val="0"/>
                <w:bCs w:val="0"/>
                <w:color w:val="auto"/>
                <w:spacing w:val="0"/>
                <w:position w:val="0"/>
                <w:sz w:val="21"/>
                <w:szCs w:val="21"/>
                <w:highlight w:val="none"/>
                <w:lang w:val="en-US" w:eastAsia="zh-CN"/>
              </w:rPr>
              <w:t>t/a，实际排放量=0.03</w:t>
            </w:r>
            <w:r>
              <w:rPr>
                <w:rFonts w:hint="eastAsia" w:ascii="Times New Roman" w:hAnsi="Times New Roman" w:cs="Times New Roman"/>
                <w:b w:val="0"/>
                <w:bCs w:val="0"/>
                <w:color w:val="auto"/>
                <w:spacing w:val="0"/>
                <w:position w:val="0"/>
                <w:sz w:val="21"/>
                <w:szCs w:val="21"/>
                <w:highlight w:val="none"/>
                <w:lang w:val="en-US" w:eastAsia="zh-CN"/>
              </w:rPr>
              <w:t>6</w:t>
            </w:r>
            <w:r>
              <w:rPr>
                <w:rFonts w:hint="eastAsia" w:ascii="Times New Roman" w:hAnsi="Times New Roman" w:eastAsia="宋体" w:cs="Times New Roman"/>
                <w:b w:val="0"/>
                <w:bCs w:val="0"/>
                <w:color w:val="auto"/>
                <w:spacing w:val="0"/>
                <w:position w:val="0"/>
                <w:sz w:val="21"/>
                <w:szCs w:val="21"/>
                <w:highlight w:val="none"/>
                <w:lang w:val="en-US" w:eastAsia="zh-CN"/>
              </w:rPr>
              <w:t>+0.0</w:t>
            </w:r>
            <w:r>
              <w:rPr>
                <w:rFonts w:hint="eastAsia" w:ascii="Times New Roman" w:hAnsi="Times New Roman" w:cs="Times New Roman"/>
                <w:b w:val="0"/>
                <w:bCs w:val="0"/>
                <w:color w:val="auto"/>
                <w:spacing w:val="0"/>
                <w:position w:val="0"/>
                <w:sz w:val="21"/>
                <w:szCs w:val="21"/>
                <w:highlight w:val="none"/>
                <w:lang w:val="en-US" w:eastAsia="zh-CN"/>
              </w:rPr>
              <w:t>33</w:t>
            </w:r>
            <w:r>
              <w:rPr>
                <w:rFonts w:hint="eastAsia" w:ascii="Times New Roman" w:hAnsi="Times New Roman" w:eastAsia="宋体" w:cs="Times New Roman"/>
                <w:b w:val="0"/>
                <w:bCs w:val="0"/>
                <w:color w:val="auto"/>
                <w:spacing w:val="0"/>
                <w:position w:val="0"/>
                <w:sz w:val="21"/>
                <w:szCs w:val="21"/>
                <w:highlight w:val="none"/>
                <w:lang w:val="en-US" w:eastAsia="zh-CN"/>
              </w:rPr>
              <w:t>=0.0</w:t>
            </w:r>
            <w:r>
              <w:rPr>
                <w:rFonts w:hint="eastAsia" w:ascii="Times New Roman" w:hAnsi="Times New Roman" w:cs="Times New Roman"/>
                <w:b w:val="0"/>
                <w:bCs w:val="0"/>
                <w:color w:val="auto"/>
                <w:spacing w:val="0"/>
                <w:position w:val="0"/>
                <w:sz w:val="21"/>
                <w:szCs w:val="21"/>
                <w:highlight w:val="none"/>
                <w:lang w:val="en-US" w:eastAsia="zh-CN"/>
              </w:rPr>
              <w:t>6</w:t>
            </w:r>
            <w:r>
              <w:rPr>
                <w:rFonts w:hint="eastAsia" w:ascii="Times New Roman" w:hAnsi="Times New Roman" w:eastAsia="宋体" w:cs="Times New Roman"/>
                <w:b w:val="0"/>
                <w:bCs w:val="0"/>
                <w:color w:val="auto"/>
                <w:spacing w:val="0"/>
                <w:position w:val="0"/>
                <w:sz w:val="21"/>
                <w:szCs w:val="21"/>
                <w:highlight w:val="none"/>
                <w:lang w:val="en-US" w:eastAsia="zh-CN"/>
              </w:rPr>
              <w:t>9t/a；</w:t>
            </w:r>
          </w:p>
          <w:p w14:paraId="638E83BA">
            <w:pPr>
              <w:keepNext w:val="0"/>
              <w:keepLines w:val="0"/>
              <w:numPr>
                <w:ilvl w:val="0"/>
                <w:numId w:val="0"/>
              </w:numPr>
              <w:suppressLineNumbers w:val="0"/>
              <w:spacing w:before="0" w:beforeAutospacing="0" w:after="0" w:afterAutospacing="0" w:line="240" w:lineRule="auto"/>
              <w:ind w:left="0" w:right="0" w:rightChars="0" w:firstLine="420" w:firstLineChars="200"/>
              <w:jc w:val="both"/>
              <w:rPr>
                <w:rFonts w:hint="default" w:ascii="Times New Roman" w:hAnsi="Times New Roman" w:eastAsia="宋体" w:cs="Times New Roman"/>
                <w:b w:val="0"/>
                <w:bCs w:val="0"/>
                <w:color w:val="auto"/>
                <w:spacing w:val="0"/>
                <w:position w:val="0"/>
                <w:sz w:val="21"/>
                <w:szCs w:val="21"/>
                <w:highlight w:val="none"/>
                <w:lang w:val="en-US" w:eastAsia="zh-CN"/>
              </w:rPr>
            </w:pPr>
            <w:r>
              <w:rPr>
                <w:rFonts w:hint="eastAsia" w:ascii="Times New Roman" w:hAnsi="Times New Roman" w:eastAsia="宋体" w:cs="Times New Roman"/>
                <w:b w:val="0"/>
                <w:bCs w:val="0"/>
                <w:color w:val="auto"/>
                <w:spacing w:val="0"/>
                <w:position w:val="0"/>
                <w:sz w:val="21"/>
                <w:szCs w:val="21"/>
                <w:highlight w:val="none"/>
                <w:lang w:val="en-US" w:eastAsia="zh-CN"/>
              </w:rPr>
              <w:t>2、</w:t>
            </w:r>
            <w:r>
              <w:rPr>
                <w:rFonts w:hint="default" w:ascii="Times New Roman" w:hAnsi="Times New Roman" w:eastAsia="宋体" w:cs="Times New Roman"/>
                <w:b w:val="0"/>
                <w:bCs w:val="0"/>
                <w:color w:val="auto"/>
                <w:spacing w:val="0"/>
                <w:position w:val="0"/>
                <w:sz w:val="21"/>
                <w:szCs w:val="21"/>
                <w:highlight w:val="none"/>
                <w:lang w:val="en-US" w:eastAsia="zh-CN"/>
              </w:rPr>
              <w:t>验收监测期间，生产负荷为</w:t>
            </w:r>
            <w:r>
              <w:rPr>
                <w:rFonts w:hint="eastAsia" w:ascii="Times New Roman" w:hAnsi="Times New Roman" w:eastAsia="宋体" w:cs="Times New Roman"/>
                <w:b w:val="0"/>
                <w:bCs w:val="0"/>
                <w:color w:val="auto"/>
                <w:spacing w:val="0"/>
                <w:position w:val="0"/>
                <w:sz w:val="21"/>
                <w:szCs w:val="21"/>
                <w:highlight w:val="none"/>
                <w:lang w:val="en-US" w:eastAsia="zh-CN"/>
              </w:rPr>
              <w:t>100</w:t>
            </w:r>
            <w:r>
              <w:rPr>
                <w:rFonts w:hint="default" w:ascii="Times New Roman" w:hAnsi="Times New Roman" w:eastAsia="宋体" w:cs="Times New Roman"/>
                <w:b w:val="0"/>
                <w:bCs w:val="0"/>
                <w:color w:val="auto"/>
                <w:spacing w:val="0"/>
                <w:position w:val="0"/>
                <w:sz w:val="21"/>
                <w:szCs w:val="21"/>
                <w:highlight w:val="none"/>
                <w:lang w:val="en-US" w:eastAsia="zh-CN"/>
              </w:rPr>
              <w:t>%</w:t>
            </w:r>
            <w:r>
              <w:rPr>
                <w:rFonts w:hint="eastAsia" w:ascii="Times New Roman" w:hAnsi="Times New Roman" w:eastAsia="宋体" w:cs="Times New Roman"/>
                <w:b w:val="0"/>
                <w:bCs w:val="0"/>
                <w:color w:val="auto"/>
                <w:spacing w:val="0"/>
                <w:position w:val="0"/>
                <w:sz w:val="21"/>
                <w:szCs w:val="21"/>
                <w:highlight w:val="none"/>
                <w:lang w:val="en-US" w:eastAsia="zh-CN"/>
              </w:rPr>
              <w:t>。</w:t>
            </w:r>
          </w:p>
        </w:tc>
      </w:tr>
    </w:tbl>
    <w:p w14:paraId="0519B2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根据上表可知，实际主要污染物排放总量控制指标COD</w:t>
      </w:r>
      <w:r>
        <w:rPr>
          <w:rFonts w:hint="default" w:ascii="Times New Roman" w:hAnsi="Times New Roman" w:eastAsia="宋体" w:cs="Times New Roman"/>
          <w:color w:val="auto"/>
          <w:kern w:val="2"/>
          <w:sz w:val="24"/>
          <w:szCs w:val="24"/>
          <w:highlight w:val="none"/>
          <w:vertAlign w:val="subscript"/>
          <w:lang w:val="en-US" w:eastAsia="zh-CN" w:bidi="ar"/>
        </w:rPr>
        <w:t>Cr</w:t>
      </w:r>
      <w:r>
        <w:rPr>
          <w:rFonts w:hint="default" w:ascii="Times New Roman" w:hAnsi="Times New Roman" w:eastAsia="宋体" w:cs="Times New Roman"/>
          <w:color w:val="auto"/>
          <w:kern w:val="2"/>
          <w:sz w:val="24"/>
          <w:szCs w:val="24"/>
          <w:highlight w:val="none"/>
          <w:lang w:val="en-US" w:eastAsia="zh-CN" w:bidi="ar"/>
        </w:rPr>
        <w:t>、NH</w:t>
      </w:r>
      <w:r>
        <w:rPr>
          <w:rFonts w:hint="default" w:ascii="Times New Roman" w:hAnsi="Times New Roman" w:eastAsia="宋体" w:cs="Times New Roman"/>
          <w:color w:val="auto"/>
          <w:kern w:val="2"/>
          <w:sz w:val="24"/>
          <w:szCs w:val="24"/>
          <w:highlight w:val="none"/>
          <w:vertAlign w:val="sub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-N</w:t>
      </w:r>
      <w:r>
        <w:rPr>
          <w:rFonts w:hint="eastAsia" w:ascii="Times New Roman" w:hAnsi="Times New Roman" w:eastAsia="宋体" w:cs="Times New Roman"/>
          <w:color w:val="auto"/>
          <w:kern w:val="2"/>
          <w:sz w:val="24"/>
          <w:szCs w:val="21"/>
          <w:highlight w:val="none"/>
          <w:lang w:val="en-US" w:eastAsia="zh-CN" w:bidi="ar"/>
        </w:rPr>
        <w:t>、挥发性有机物（VOCs）</w:t>
      </w:r>
      <w:r>
        <w:rPr>
          <w:rFonts w:hint="default" w:ascii="Times New Roman" w:hAnsi="Times New Roman" w:eastAsia="宋体" w:cs="Times New Roman"/>
          <w:color w:val="auto"/>
          <w:kern w:val="2"/>
          <w:sz w:val="24"/>
          <w:szCs w:val="24"/>
          <w:highlight w:val="none"/>
          <w:lang w:val="en-US" w:eastAsia="zh-CN" w:bidi="ar"/>
        </w:rPr>
        <w:t>均在环评审批的总量控制指标范围内</w:t>
      </w:r>
      <w:r>
        <w:rPr>
          <w:rFonts w:hint="eastAsia" w:ascii="Times New Roman" w:hAnsi="Times New Roman" w:eastAsia="宋体" w:cs="Times New Roman"/>
          <w:color w:val="auto"/>
          <w:kern w:val="2"/>
          <w:sz w:val="24"/>
          <w:szCs w:val="24"/>
          <w:highlight w:val="none"/>
          <w:lang w:val="en-US" w:eastAsia="zh-CN" w:bidi="ar"/>
        </w:rPr>
        <w:t>。</w:t>
      </w:r>
    </w:p>
    <w:p w14:paraId="7AC24D1B">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14:paraId="3ABE0D76">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olor w:val="auto"/>
          <w:kern w:val="0"/>
          <w:sz w:val="24"/>
          <w:szCs w:val="24"/>
          <w:highlight w:val="none"/>
          <w:lang w:val="en-US" w:eastAsia="zh-CN"/>
        </w:rPr>
        <w:t>安吉伟德家具有限公司年产100万套塑料家具配件项目竣工环境保护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本项目</w:t>
      </w:r>
      <w:r>
        <w:rPr>
          <w:rFonts w:ascii="Times New Roman" w:hAnsi="Times New Roman" w:eastAsia="宋体"/>
          <w:color w:val="auto"/>
          <w:kern w:val="0"/>
          <w:sz w:val="24"/>
          <w:szCs w:val="24"/>
          <w:highlight w:val="none"/>
        </w:rPr>
        <w:t>环保手续齐全，污染防治措施基本按照环评及批复要求落实；经验收监测，废气、废水、噪声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w:t>
      </w:r>
      <w:r>
        <w:rPr>
          <w:rFonts w:hint="eastAsia" w:ascii="Times New Roman" w:hAnsi="Times New Roman"/>
          <w:color w:val="auto"/>
          <w:kern w:val="0"/>
          <w:sz w:val="24"/>
          <w:szCs w:val="24"/>
          <w:highlight w:val="none"/>
          <w:lang w:val="en-US" w:eastAsia="zh-CN"/>
        </w:rPr>
        <w:t>本</w:t>
      </w:r>
      <w:r>
        <w:rPr>
          <w:rFonts w:ascii="Times New Roman" w:hAnsi="Times New Roman" w:eastAsia="宋体"/>
          <w:color w:val="auto"/>
          <w:kern w:val="0"/>
          <w:sz w:val="24"/>
          <w:szCs w:val="24"/>
          <w:highlight w:val="none"/>
        </w:rPr>
        <w:t>项目符合申请建设项目竣工环境保护自主验收条件项目，不存在《建设项目竣工环境保护验收暂行办法》第八条中所列验收不合格的情形，符合竣工环境保护验收条件，验收结论为合格。</w:t>
      </w:r>
    </w:p>
    <w:p w14:paraId="7092F482">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14:paraId="06ED413F">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14:paraId="38A099E1">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（二）进一步加强对有机废气处理设施的日常管理和维护，定期更换活性炭，并足量填充高碘值活性炭，确保长期稳定达标排放。</w:t>
      </w:r>
    </w:p>
    <w:p w14:paraId="17B8A91D">
      <w:pPr>
        <w:pStyle w:val="4"/>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14:paraId="05925D51">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14:paraId="21E5254D">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14:paraId="5F8937AF">
      <w:pPr>
        <w:spacing w:line="360" w:lineRule="auto"/>
        <w:ind w:firstLine="480" w:firstLineChars="200"/>
        <w:jc w:val="right"/>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val="en-US" w:eastAsia="zh-CN"/>
        </w:rPr>
        <w:t>安吉伟德家具有限公司</w:t>
      </w:r>
    </w:p>
    <w:p w14:paraId="12C081F6">
      <w:pPr>
        <w:spacing w:line="360" w:lineRule="auto"/>
        <w:ind w:firstLine="480" w:firstLineChars="200"/>
        <w:jc w:val="right"/>
        <w:rPr>
          <w:rFonts w:hint="default" w:ascii="Times New Roman" w:hAnsi="Times New Roman" w:eastAsia="宋体" w:cs="Times New Roman"/>
          <w:color w:val="00B0F0"/>
          <w:sz w:val="24"/>
          <w:szCs w:val="24"/>
          <w:highlight w:val="none"/>
          <w:lang w:val="en-US" w:eastAsia="zh-CN"/>
        </w:rPr>
      </w:pPr>
      <w:r>
        <w:rPr>
          <w:rFonts w:hint="default" w:ascii="Times New Roman" w:hAnsi="Times New Roman" w:eastAsia="宋体" w:cs="Times New Roman"/>
          <w:color w:val="00B0F0"/>
          <w:kern w:val="0"/>
          <w:sz w:val="24"/>
          <w:highlight w:val="none"/>
        </w:rPr>
        <w:t>20</w:t>
      </w:r>
      <w:r>
        <w:rPr>
          <w:rFonts w:hint="default" w:ascii="Times New Roman" w:hAnsi="Times New Roman" w:eastAsia="宋体" w:cs="Times New Roman"/>
          <w:color w:val="00B0F0"/>
          <w:kern w:val="0"/>
          <w:sz w:val="24"/>
          <w:highlight w:val="none"/>
          <w:lang w:val="en-US" w:eastAsia="zh-CN"/>
        </w:rPr>
        <w:t>2</w:t>
      </w:r>
      <w:r>
        <w:rPr>
          <w:rFonts w:hint="eastAsia" w:ascii="Times New Roman" w:hAnsi="Times New Roman" w:cs="Times New Roman"/>
          <w:color w:val="00B0F0"/>
          <w:kern w:val="0"/>
          <w:sz w:val="24"/>
          <w:highlight w:val="none"/>
          <w:lang w:val="en-US" w:eastAsia="zh-CN"/>
        </w:rPr>
        <w:t>5</w:t>
      </w:r>
      <w:r>
        <w:rPr>
          <w:rFonts w:hint="default" w:ascii="Times New Roman" w:hAnsi="Times New Roman" w:eastAsia="宋体" w:cs="Times New Roman"/>
          <w:color w:val="00B0F0"/>
          <w:kern w:val="0"/>
          <w:sz w:val="24"/>
          <w:highlight w:val="none"/>
        </w:rPr>
        <w:t>年</w:t>
      </w:r>
      <w:r>
        <w:rPr>
          <w:rFonts w:hint="eastAsia" w:ascii="Times New Roman" w:hAnsi="Times New Roman" w:cs="Times New Roman"/>
          <w:color w:val="00B0F0"/>
          <w:kern w:val="0"/>
          <w:sz w:val="24"/>
          <w:highlight w:val="none"/>
          <w:lang w:val="en-US" w:eastAsia="zh-CN"/>
        </w:rPr>
        <w:t>4</w:t>
      </w:r>
      <w:r>
        <w:rPr>
          <w:rFonts w:hint="default" w:ascii="Times New Roman" w:hAnsi="Times New Roman" w:eastAsia="宋体" w:cs="Times New Roman"/>
          <w:color w:val="00B0F0"/>
          <w:kern w:val="0"/>
          <w:sz w:val="24"/>
          <w:highlight w:val="none"/>
        </w:rPr>
        <w:t>月</w:t>
      </w:r>
      <w:r>
        <w:rPr>
          <w:rFonts w:hint="eastAsia" w:ascii="Times New Roman" w:hAnsi="Times New Roman" w:cs="Times New Roman"/>
          <w:color w:val="00B0F0"/>
          <w:kern w:val="0"/>
          <w:sz w:val="24"/>
          <w:highlight w:val="none"/>
          <w:lang w:val="en-US" w:eastAsia="zh-CN"/>
        </w:rPr>
        <w:t>17</w:t>
      </w:r>
      <w:r>
        <w:rPr>
          <w:rFonts w:hint="default" w:ascii="Times New Roman" w:hAnsi="Times New Roman" w:eastAsia="宋体" w:cs="Times New Roman"/>
          <w:color w:val="00B0F0"/>
          <w:kern w:val="0"/>
          <w:sz w:val="24"/>
          <w:highlight w:val="none"/>
        </w:rPr>
        <w:t>日</w:t>
      </w:r>
    </w:p>
    <w:sectPr>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3F2D1D"/>
    <w:rsid w:val="04497378"/>
    <w:rsid w:val="045126D0"/>
    <w:rsid w:val="047A39D5"/>
    <w:rsid w:val="04F34A42"/>
    <w:rsid w:val="058C7E64"/>
    <w:rsid w:val="0597059F"/>
    <w:rsid w:val="05D50C2B"/>
    <w:rsid w:val="05F31C91"/>
    <w:rsid w:val="06103038"/>
    <w:rsid w:val="063A5C43"/>
    <w:rsid w:val="064A73D7"/>
    <w:rsid w:val="065B7836"/>
    <w:rsid w:val="06EE09F3"/>
    <w:rsid w:val="072736DA"/>
    <w:rsid w:val="072B7687"/>
    <w:rsid w:val="072C3B31"/>
    <w:rsid w:val="073472B0"/>
    <w:rsid w:val="07373DFF"/>
    <w:rsid w:val="074F1149"/>
    <w:rsid w:val="075C73C2"/>
    <w:rsid w:val="077F5883"/>
    <w:rsid w:val="07A5520D"/>
    <w:rsid w:val="08406CE4"/>
    <w:rsid w:val="08762705"/>
    <w:rsid w:val="088968DD"/>
    <w:rsid w:val="08B651F8"/>
    <w:rsid w:val="08C07E24"/>
    <w:rsid w:val="09063A89"/>
    <w:rsid w:val="09153CCC"/>
    <w:rsid w:val="093B7E06"/>
    <w:rsid w:val="094D7C70"/>
    <w:rsid w:val="09594501"/>
    <w:rsid w:val="095A3DD5"/>
    <w:rsid w:val="098F4818"/>
    <w:rsid w:val="09D21442"/>
    <w:rsid w:val="09D8054F"/>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3DC6D4B"/>
    <w:rsid w:val="146E6986"/>
    <w:rsid w:val="14A800EA"/>
    <w:rsid w:val="14B120F6"/>
    <w:rsid w:val="14D07641"/>
    <w:rsid w:val="14D41776"/>
    <w:rsid w:val="150A66AF"/>
    <w:rsid w:val="150D2643"/>
    <w:rsid w:val="152534E9"/>
    <w:rsid w:val="152F0BBC"/>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C57A32"/>
    <w:rsid w:val="18E52319"/>
    <w:rsid w:val="19436634"/>
    <w:rsid w:val="19472921"/>
    <w:rsid w:val="19570331"/>
    <w:rsid w:val="197131A1"/>
    <w:rsid w:val="19E576EB"/>
    <w:rsid w:val="19EF40C6"/>
    <w:rsid w:val="19F83716"/>
    <w:rsid w:val="1A197394"/>
    <w:rsid w:val="1A473F02"/>
    <w:rsid w:val="1A4F5002"/>
    <w:rsid w:val="1A974E89"/>
    <w:rsid w:val="1A9E6056"/>
    <w:rsid w:val="1ABF0187"/>
    <w:rsid w:val="1AC8792A"/>
    <w:rsid w:val="1B015BDC"/>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581467"/>
    <w:rsid w:val="1C6A7562"/>
    <w:rsid w:val="1C6D08DF"/>
    <w:rsid w:val="1C6D515A"/>
    <w:rsid w:val="1C760ACE"/>
    <w:rsid w:val="1C9E1AEA"/>
    <w:rsid w:val="1D043207"/>
    <w:rsid w:val="1D0936F0"/>
    <w:rsid w:val="1D352737"/>
    <w:rsid w:val="1D992CC6"/>
    <w:rsid w:val="1DB23D88"/>
    <w:rsid w:val="1DE55F0B"/>
    <w:rsid w:val="1DE71C83"/>
    <w:rsid w:val="1DF9228A"/>
    <w:rsid w:val="1E0A7720"/>
    <w:rsid w:val="1E116D00"/>
    <w:rsid w:val="1E401394"/>
    <w:rsid w:val="1E592A71"/>
    <w:rsid w:val="1E7948A6"/>
    <w:rsid w:val="1EC27FFB"/>
    <w:rsid w:val="1ED04016"/>
    <w:rsid w:val="1F525822"/>
    <w:rsid w:val="1FD955FC"/>
    <w:rsid w:val="1FFC6A34"/>
    <w:rsid w:val="200F54C2"/>
    <w:rsid w:val="201725C8"/>
    <w:rsid w:val="20605D1D"/>
    <w:rsid w:val="206C7B49"/>
    <w:rsid w:val="207120C3"/>
    <w:rsid w:val="20971013"/>
    <w:rsid w:val="209E7C51"/>
    <w:rsid w:val="20F67487"/>
    <w:rsid w:val="21115269"/>
    <w:rsid w:val="21225204"/>
    <w:rsid w:val="21294361"/>
    <w:rsid w:val="216B2BCB"/>
    <w:rsid w:val="2184503B"/>
    <w:rsid w:val="21B17C21"/>
    <w:rsid w:val="22200FE5"/>
    <w:rsid w:val="22242A4E"/>
    <w:rsid w:val="222D1ACA"/>
    <w:rsid w:val="228527E6"/>
    <w:rsid w:val="228C4BA7"/>
    <w:rsid w:val="229B20FD"/>
    <w:rsid w:val="22B8599C"/>
    <w:rsid w:val="22D45DCA"/>
    <w:rsid w:val="232B4410"/>
    <w:rsid w:val="233F7E6C"/>
    <w:rsid w:val="23863CED"/>
    <w:rsid w:val="23B5012E"/>
    <w:rsid w:val="23BD07B1"/>
    <w:rsid w:val="23C62FBD"/>
    <w:rsid w:val="23EB492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2E63AD"/>
    <w:rsid w:val="285D507A"/>
    <w:rsid w:val="28F65471"/>
    <w:rsid w:val="290F5367"/>
    <w:rsid w:val="29134EDD"/>
    <w:rsid w:val="29A749BD"/>
    <w:rsid w:val="29B13146"/>
    <w:rsid w:val="29BF1D06"/>
    <w:rsid w:val="2A557F75"/>
    <w:rsid w:val="2A5C7555"/>
    <w:rsid w:val="2A9E0161"/>
    <w:rsid w:val="2B285689"/>
    <w:rsid w:val="2B381D70"/>
    <w:rsid w:val="2B41609E"/>
    <w:rsid w:val="2B45623B"/>
    <w:rsid w:val="2B4B2AFB"/>
    <w:rsid w:val="2B764647"/>
    <w:rsid w:val="2B88437A"/>
    <w:rsid w:val="2B9D7E25"/>
    <w:rsid w:val="2BB33AB6"/>
    <w:rsid w:val="2BB40E5B"/>
    <w:rsid w:val="2C4E7372"/>
    <w:rsid w:val="2CDC497D"/>
    <w:rsid w:val="2CF0667B"/>
    <w:rsid w:val="2CF41CC7"/>
    <w:rsid w:val="2D0B1F79"/>
    <w:rsid w:val="2D77745E"/>
    <w:rsid w:val="2D7E3C87"/>
    <w:rsid w:val="2D864EB0"/>
    <w:rsid w:val="2E0200FB"/>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CB558F"/>
    <w:rsid w:val="35ED19A9"/>
    <w:rsid w:val="361909F0"/>
    <w:rsid w:val="361E6007"/>
    <w:rsid w:val="36251143"/>
    <w:rsid w:val="36297C02"/>
    <w:rsid w:val="36511F38"/>
    <w:rsid w:val="36633A19"/>
    <w:rsid w:val="36877708"/>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385475"/>
    <w:rsid w:val="3B4E3612"/>
    <w:rsid w:val="3B590718"/>
    <w:rsid w:val="3B824942"/>
    <w:rsid w:val="3BC74A4B"/>
    <w:rsid w:val="3BFC2946"/>
    <w:rsid w:val="3C0C3CEF"/>
    <w:rsid w:val="3C320282"/>
    <w:rsid w:val="3C6F1EA0"/>
    <w:rsid w:val="3CB77B85"/>
    <w:rsid w:val="3CEC49C0"/>
    <w:rsid w:val="3D437B38"/>
    <w:rsid w:val="3D566086"/>
    <w:rsid w:val="3DAE7C70"/>
    <w:rsid w:val="3DC70D32"/>
    <w:rsid w:val="3E2B7513"/>
    <w:rsid w:val="3E605959"/>
    <w:rsid w:val="3E7762B4"/>
    <w:rsid w:val="3EA177D5"/>
    <w:rsid w:val="3F0365C7"/>
    <w:rsid w:val="3F0D6C18"/>
    <w:rsid w:val="3F76656C"/>
    <w:rsid w:val="3F937B68"/>
    <w:rsid w:val="3FB0378B"/>
    <w:rsid w:val="3FDA11F0"/>
    <w:rsid w:val="400C0C7E"/>
    <w:rsid w:val="40381A73"/>
    <w:rsid w:val="404E1296"/>
    <w:rsid w:val="405A7C3B"/>
    <w:rsid w:val="40882E6C"/>
    <w:rsid w:val="40AD2461"/>
    <w:rsid w:val="40E439A9"/>
    <w:rsid w:val="410D12F8"/>
    <w:rsid w:val="415029D9"/>
    <w:rsid w:val="41670862"/>
    <w:rsid w:val="41F93484"/>
    <w:rsid w:val="420F2CA7"/>
    <w:rsid w:val="4214206C"/>
    <w:rsid w:val="42722B78"/>
    <w:rsid w:val="431762B8"/>
    <w:rsid w:val="434D1CD9"/>
    <w:rsid w:val="43575F8F"/>
    <w:rsid w:val="43737CDA"/>
    <w:rsid w:val="43816ECE"/>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C3064B"/>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CC160C"/>
    <w:rsid w:val="4AD36F68"/>
    <w:rsid w:val="4B427C4A"/>
    <w:rsid w:val="4B773D97"/>
    <w:rsid w:val="4BAD581D"/>
    <w:rsid w:val="4BF65E1D"/>
    <w:rsid w:val="4C09265D"/>
    <w:rsid w:val="4C1356A2"/>
    <w:rsid w:val="4CAB577D"/>
    <w:rsid w:val="4D0478AD"/>
    <w:rsid w:val="4D097DFF"/>
    <w:rsid w:val="4D3637DE"/>
    <w:rsid w:val="4D4001B9"/>
    <w:rsid w:val="4D4128AF"/>
    <w:rsid w:val="4D492AC2"/>
    <w:rsid w:val="4D5B24C8"/>
    <w:rsid w:val="4DBD7A5B"/>
    <w:rsid w:val="4DC66A12"/>
    <w:rsid w:val="4DDE00FE"/>
    <w:rsid w:val="4DF711BF"/>
    <w:rsid w:val="4E04104E"/>
    <w:rsid w:val="4E165AE9"/>
    <w:rsid w:val="4E2A3343"/>
    <w:rsid w:val="4E406DDB"/>
    <w:rsid w:val="4E6B025A"/>
    <w:rsid w:val="4E8A5B90"/>
    <w:rsid w:val="4E923725"/>
    <w:rsid w:val="4EA2112B"/>
    <w:rsid w:val="4EC15F85"/>
    <w:rsid w:val="4EC527A3"/>
    <w:rsid w:val="4EDB63EB"/>
    <w:rsid w:val="4F005E52"/>
    <w:rsid w:val="4F05790C"/>
    <w:rsid w:val="4F0911AA"/>
    <w:rsid w:val="50231584"/>
    <w:rsid w:val="50724B2D"/>
    <w:rsid w:val="50AA42C7"/>
    <w:rsid w:val="50DE6667"/>
    <w:rsid w:val="510F0E13"/>
    <w:rsid w:val="514B4F78"/>
    <w:rsid w:val="516C5BA3"/>
    <w:rsid w:val="516E30C1"/>
    <w:rsid w:val="51E23F34"/>
    <w:rsid w:val="51ED7522"/>
    <w:rsid w:val="51FF7420"/>
    <w:rsid w:val="5245699D"/>
    <w:rsid w:val="525C3CE7"/>
    <w:rsid w:val="52755359"/>
    <w:rsid w:val="52923265"/>
    <w:rsid w:val="52990A97"/>
    <w:rsid w:val="52B72CCB"/>
    <w:rsid w:val="52C11D9C"/>
    <w:rsid w:val="52FB25DA"/>
    <w:rsid w:val="53475896"/>
    <w:rsid w:val="53582700"/>
    <w:rsid w:val="537329AF"/>
    <w:rsid w:val="53755060"/>
    <w:rsid w:val="539232B3"/>
    <w:rsid w:val="53B042EA"/>
    <w:rsid w:val="53D0673A"/>
    <w:rsid w:val="541624AE"/>
    <w:rsid w:val="54330CD9"/>
    <w:rsid w:val="544A6CFB"/>
    <w:rsid w:val="545207D2"/>
    <w:rsid w:val="545C3B2A"/>
    <w:rsid w:val="54684676"/>
    <w:rsid w:val="55254864"/>
    <w:rsid w:val="554967A4"/>
    <w:rsid w:val="554C1DF1"/>
    <w:rsid w:val="556E7FB9"/>
    <w:rsid w:val="557056B1"/>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6472A3"/>
    <w:rsid w:val="5D8D2FA6"/>
    <w:rsid w:val="5DA42323"/>
    <w:rsid w:val="5DBC7D30"/>
    <w:rsid w:val="5DED1ED3"/>
    <w:rsid w:val="5E176D14"/>
    <w:rsid w:val="5E3C677A"/>
    <w:rsid w:val="5E714676"/>
    <w:rsid w:val="5E7F3237"/>
    <w:rsid w:val="5E9F11E3"/>
    <w:rsid w:val="5ED74E21"/>
    <w:rsid w:val="5EDA221B"/>
    <w:rsid w:val="5EE440EC"/>
    <w:rsid w:val="5F5D4BFA"/>
    <w:rsid w:val="5F797C86"/>
    <w:rsid w:val="5F9920D6"/>
    <w:rsid w:val="5FB409B1"/>
    <w:rsid w:val="5FB84027"/>
    <w:rsid w:val="5FC15189"/>
    <w:rsid w:val="600C4F8E"/>
    <w:rsid w:val="60160C30"/>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5C19DC"/>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E91721"/>
    <w:rsid w:val="684828EC"/>
    <w:rsid w:val="689E0B09"/>
    <w:rsid w:val="68AF64C7"/>
    <w:rsid w:val="68BA2E4A"/>
    <w:rsid w:val="68BF2482"/>
    <w:rsid w:val="68D57089"/>
    <w:rsid w:val="68D75A1D"/>
    <w:rsid w:val="69731BEA"/>
    <w:rsid w:val="69765236"/>
    <w:rsid w:val="697D4817"/>
    <w:rsid w:val="69D02B99"/>
    <w:rsid w:val="69F83E9D"/>
    <w:rsid w:val="6A042842"/>
    <w:rsid w:val="6A374E4B"/>
    <w:rsid w:val="6A5837C7"/>
    <w:rsid w:val="6A7E0847"/>
    <w:rsid w:val="6B00125C"/>
    <w:rsid w:val="6B1B2A5E"/>
    <w:rsid w:val="6B8E2D0B"/>
    <w:rsid w:val="6BBC10B2"/>
    <w:rsid w:val="6BC35730"/>
    <w:rsid w:val="6BCF0C2E"/>
    <w:rsid w:val="6BF012D0"/>
    <w:rsid w:val="6C541216"/>
    <w:rsid w:val="6C686766"/>
    <w:rsid w:val="6C9F6CBF"/>
    <w:rsid w:val="6CDE381E"/>
    <w:rsid w:val="6CFC20A6"/>
    <w:rsid w:val="6D817112"/>
    <w:rsid w:val="6D8A47CA"/>
    <w:rsid w:val="6D9B526C"/>
    <w:rsid w:val="6E06488E"/>
    <w:rsid w:val="6E573888"/>
    <w:rsid w:val="6E6F421F"/>
    <w:rsid w:val="6E92623A"/>
    <w:rsid w:val="6EBA381B"/>
    <w:rsid w:val="6EC46A44"/>
    <w:rsid w:val="6F0D2199"/>
    <w:rsid w:val="6F2968A7"/>
    <w:rsid w:val="6F2F65B3"/>
    <w:rsid w:val="6F457B85"/>
    <w:rsid w:val="6F4638FD"/>
    <w:rsid w:val="6FB940CF"/>
    <w:rsid w:val="6FBD5FE1"/>
    <w:rsid w:val="6FCE7B7A"/>
    <w:rsid w:val="6FE70C3C"/>
    <w:rsid w:val="6FEF189F"/>
    <w:rsid w:val="6FF31971"/>
    <w:rsid w:val="6FFD3CB6"/>
    <w:rsid w:val="70141305"/>
    <w:rsid w:val="70207CAA"/>
    <w:rsid w:val="70221C74"/>
    <w:rsid w:val="7039323D"/>
    <w:rsid w:val="705B5186"/>
    <w:rsid w:val="70785D38"/>
    <w:rsid w:val="70826FF6"/>
    <w:rsid w:val="70D7072F"/>
    <w:rsid w:val="712351CC"/>
    <w:rsid w:val="71665B90"/>
    <w:rsid w:val="716A38D3"/>
    <w:rsid w:val="71704C61"/>
    <w:rsid w:val="71A779AA"/>
    <w:rsid w:val="71BE3C1E"/>
    <w:rsid w:val="71E17B50"/>
    <w:rsid w:val="72612407"/>
    <w:rsid w:val="72BC100D"/>
    <w:rsid w:val="72D37256"/>
    <w:rsid w:val="72E15E16"/>
    <w:rsid w:val="72EE0533"/>
    <w:rsid w:val="73540F98"/>
    <w:rsid w:val="736507F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E41046"/>
    <w:rsid w:val="76F0487A"/>
    <w:rsid w:val="77000835"/>
    <w:rsid w:val="772D6E8E"/>
    <w:rsid w:val="7731279D"/>
    <w:rsid w:val="77577C6A"/>
    <w:rsid w:val="776112D4"/>
    <w:rsid w:val="776B3F01"/>
    <w:rsid w:val="778B619F"/>
    <w:rsid w:val="77B22156"/>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396C3E"/>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annotation text"/>
    <w:basedOn w:val="1"/>
    <w:autoRedefine/>
    <w:qFormat/>
    <w:uiPriority w:val="0"/>
    <w:pPr>
      <w:jc w:val="left"/>
    </w:pPr>
  </w:style>
  <w:style w:type="paragraph" w:styleId="4">
    <w:name w:val="Body Text"/>
    <w:basedOn w:val="1"/>
    <w:next w:val="1"/>
    <w:autoRedefine/>
    <w:unhideWhenUsed/>
    <w:qFormat/>
    <w:uiPriority w:val="99"/>
    <w:pPr>
      <w:ind w:left="118"/>
    </w:pPr>
    <w:rPr>
      <w:rFonts w:ascii="宋体" w:hAnsi="宋体" w:eastAsia="宋体"/>
    </w:rPr>
  </w:style>
  <w:style w:type="paragraph" w:styleId="5">
    <w:name w:val="Body Text Indent"/>
    <w:basedOn w:val="1"/>
    <w:next w:val="6"/>
    <w:autoRedefine/>
    <w:qFormat/>
    <w:uiPriority w:val="0"/>
    <w:pPr>
      <w:ind w:firstLine="480" w:firstLineChars="200"/>
    </w:pPr>
    <w:rPr>
      <w:rFonts w:ascii="宋体"/>
      <w:color w:val="000000"/>
      <w:sz w:val="24"/>
    </w:rPr>
  </w:style>
  <w:style w:type="paragraph" w:styleId="6">
    <w:name w:val="toc 9"/>
    <w:basedOn w:val="1"/>
    <w:next w:val="1"/>
    <w:autoRedefine/>
    <w:qFormat/>
    <w:uiPriority w:val="0"/>
    <w:pPr>
      <w:widowControl/>
      <w:wordWrap w:val="0"/>
      <w:autoSpaceDE/>
      <w:autoSpaceDN/>
      <w:spacing w:before="0" w:after="0" w:line="240" w:lineRule="auto"/>
      <w:ind w:left="2975" w:firstLine="0"/>
      <w:jc w:val="both"/>
    </w:pPr>
    <w:rPr>
      <w:sz w:val="21"/>
      <w:szCs w:val="22"/>
    </w:rPr>
  </w:style>
  <w:style w:type="paragraph" w:styleId="7">
    <w:name w:val="Plain Text"/>
    <w:basedOn w:val="1"/>
    <w:autoRedefine/>
    <w:qFormat/>
    <w:uiPriority w:val="0"/>
    <w:rPr>
      <w:rFonts w:ascii="宋体" w:hAnsi="Courier New" w:eastAsia="宋体" w:cs="Times New Roman"/>
      <w:szCs w:val="24"/>
    </w:rPr>
  </w:style>
  <w:style w:type="paragraph" w:styleId="8">
    <w:name w:val="Body Text First Indent"/>
    <w:basedOn w:val="4"/>
    <w:next w:val="1"/>
    <w:autoRedefine/>
    <w:qFormat/>
    <w:uiPriority w:val="0"/>
    <w:pPr>
      <w:ind w:firstLine="420" w:firstLineChars="100"/>
    </w:pPr>
  </w:style>
  <w:style w:type="paragraph" w:styleId="9">
    <w:name w:val="Body Text First Indent 2"/>
    <w:basedOn w:val="5"/>
    <w:next w:val="1"/>
    <w:autoRedefine/>
    <w:qFormat/>
    <w:uiPriority w:val="0"/>
    <w:pPr>
      <w:ind w:firstLine="420" w:firstLineChars="200"/>
    </w:pPr>
    <w:rPr>
      <w:snapToGrid w:val="0"/>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Emphasis"/>
    <w:basedOn w:val="12"/>
    <w:autoRedefine/>
    <w:qFormat/>
    <w:uiPriority w:val="0"/>
    <w:rPr>
      <w:i/>
    </w:rPr>
  </w:style>
  <w:style w:type="paragraph" w:customStyle="1" w:styleId="15">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6">
    <w:name w:val="正文首行缩进2个字 Char"/>
    <w:basedOn w:val="1"/>
    <w:autoRedefine/>
    <w:qFormat/>
    <w:uiPriority w:val="0"/>
    <w:pPr>
      <w:ind w:firstLine="480" w:firstLineChars="200"/>
    </w:pPr>
    <w:rPr>
      <w:rFonts w:eastAsia="楷体"/>
      <w:sz w:val="24"/>
      <w:szCs w:val="24"/>
    </w:rPr>
  </w:style>
  <w:style w:type="paragraph" w:customStyle="1" w:styleId="17">
    <w:name w:val=" Char Char Char1 Char Char Char Char Char Char Char Char Char Char Char Char Char"/>
    <w:basedOn w:val="1"/>
    <w:autoRedefine/>
    <w:qFormat/>
    <w:uiPriority w:val="0"/>
    <w:rPr>
      <w:rFonts w:ascii="Times New Roman" w:hAnsi="Times New Roman" w:eastAsia="宋体" w:cs="Times New Roman"/>
      <w:sz w:val="24"/>
    </w:rPr>
  </w:style>
  <w:style w:type="paragraph" w:customStyle="1" w:styleId="18">
    <w:name w:val="报告正文"/>
    <w:basedOn w:val="1"/>
    <w:autoRedefine/>
    <w:semiHidden/>
    <w:qFormat/>
    <w:uiPriority w:val="0"/>
    <w:pPr>
      <w:spacing w:line="440" w:lineRule="exact"/>
      <w:ind w:firstLine="200" w:firstLineChars="200"/>
      <w:jc w:val="left"/>
    </w:pPr>
    <w:rPr>
      <w:rFonts w:eastAsia="仿宋_GB2312"/>
      <w:sz w:val="24"/>
    </w:rPr>
  </w:style>
  <w:style w:type="character" w:customStyle="1" w:styleId="19">
    <w:name w:val="15"/>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3719</Words>
  <Characters>4157</Characters>
  <Lines>1</Lines>
  <Paragraphs>1</Paragraphs>
  <TotalTime>3</TotalTime>
  <ScaleCrop>false</ScaleCrop>
  <LinksUpToDate>false</LinksUpToDate>
  <CharactersWithSpaces>4162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2025-01-02T01:08:00Z</cp:lastPrinted>
  <dcterms:modified xsi:type="dcterms:W3CDTF">2025-05-19T07:36:24Z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7CED0C2BAB3F4C7ABEB4B2E6081B382B_13</vt:lpwstr>
  </property>
  <property fmtid="{D5CDD505-2E9C-101B-9397-08002B2CF9AE}" pid="4" name="KSOTemplateDocerSaveRecord">
    <vt:lpwstr>eyJoZGlkIjoiZmQ2YzI1ZDAyMjM0MDY3NzAxYzYyNTNhZWNlOGZlODMiLCJ1c2VySWQiOiI0NDQzOTcwNDEifQ==</vt:lpwstr>
  </property>
</Properties>
</file>