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z w:val="32"/>
          <w:szCs w:val="32"/>
          <w:lang w:val="en-US" w:eastAsia="zh-CN"/>
        </w:rPr>
      </w:pPr>
      <w:r>
        <w:rPr>
          <w:rFonts w:hint="default" w:ascii="Times New Roman" w:hAnsi="Times New Roman" w:eastAsia="宋体" w:cs="Times New Roman"/>
          <w:b/>
          <w:color w:val="auto"/>
          <w:sz w:val="32"/>
          <w:szCs w:val="32"/>
          <w:lang w:val="en-US" w:eastAsia="zh-CN"/>
        </w:rPr>
        <w:t>德清创达塑料制品有限公司</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z w:val="32"/>
          <w:szCs w:val="32"/>
          <w:lang w:val="en-US" w:eastAsia="zh-CN"/>
        </w:rPr>
      </w:pPr>
      <w:r>
        <w:rPr>
          <w:rFonts w:hint="default" w:ascii="Times New Roman" w:hAnsi="Times New Roman" w:eastAsia="宋体" w:cs="Times New Roman"/>
          <w:b/>
          <w:color w:val="auto"/>
          <w:sz w:val="32"/>
          <w:szCs w:val="32"/>
          <w:lang w:val="en-US" w:eastAsia="zh-CN"/>
        </w:rPr>
        <w:t>2023年德清创达塑料年产200吨EPP、EPS包装材料项目</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验收意见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0000FF"/>
          <w:kern w:val="0"/>
          <w:sz w:val="24"/>
          <w:szCs w:val="24"/>
          <w:highlight w:val="none"/>
        </w:rPr>
        <w:t>202</w:t>
      </w:r>
      <w:r>
        <w:rPr>
          <w:rFonts w:hint="eastAsia" w:cs="Times New Roman"/>
          <w:color w:val="0000FF"/>
          <w:kern w:val="0"/>
          <w:sz w:val="24"/>
          <w:szCs w:val="24"/>
          <w:highlight w:val="none"/>
          <w:lang w:val="en-US" w:eastAsia="zh-CN"/>
        </w:rPr>
        <w:t>5</w:t>
      </w:r>
      <w:r>
        <w:rPr>
          <w:rFonts w:hint="default" w:ascii="Times New Roman" w:hAnsi="Times New Roman" w:eastAsia="宋体" w:cs="Times New Roman"/>
          <w:color w:val="0000FF"/>
          <w:kern w:val="0"/>
          <w:sz w:val="24"/>
          <w:szCs w:val="24"/>
          <w:highlight w:val="none"/>
        </w:rPr>
        <w:t>年</w:t>
      </w:r>
      <w:r>
        <w:rPr>
          <w:rFonts w:hint="eastAsia" w:cs="Times New Roman"/>
          <w:color w:val="0000FF"/>
          <w:kern w:val="0"/>
          <w:sz w:val="24"/>
          <w:szCs w:val="24"/>
          <w:highlight w:val="none"/>
          <w:lang w:val="en-US" w:eastAsia="zh-CN"/>
        </w:rPr>
        <w:t>2</w:t>
      </w:r>
      <w:r>
        <w:rPr>
          <w:rFonts w:hint="default" w:ascii="Times New Roman" w:hAnsi="Times New Roman" w:eastAsia="宋体" w:cs="Times New Roman"/>
          <w:color w:val="0000FF"/>
          <w:kern w:val="0"/>
          <w:sz w:val="24"/>
          <w:szCs w:val="24"/>
          <w:highlight w:val="none"/>
        </w:rPr>
        <w:t>月</w:t>
      </w:r>
      <w:commentRangeStart w:id="0"/>
      <w:commentRangeStart w:id="1"/>
      <w:r>
        <w:rPr>
          <w:rFonts w:hint="eastAsia" w:cs="Times New Roman"/>
          <w:color w:val="0000FF"/>
          <w:kern w:val="0"/>
          <w:sz w:val="24"/>
          <w:szCs w:val="24"/>
          <w:highlight w:val="none"/>
          <w:lang w:val="en-US" w:eastAsia="zh-CN"/>
        </w:rPr>
        <w:t>19</w:t>
      </w:r>
      <w:r>
        <w:rPr>
          <w:rFonts w:hint="default" w:ascii="Times New Roman" w:hAnsi="Times New Roman" w:eastAsia="宋体" w:cs="Times New Roman"/>
          <w:color w:val="0000FF"/>
          <w:kern w:val="0"/>
          <w:sz w:val="24"/>
          <w:szCs w:val="24"/>
          <w:highlight w:val="none"/>
        </w:rPr>
        <w:t>日</w:t>
      </w:r>
      <w:r>
        <w:rPr>
          <w:rFonts w:hint="default" w:ascii="Times New Roman" w:hAnsi="Times New Roman" w:eastAsia="宋体" w:cs="Times New Roman"/>
          <w:color w:val="auto"/>
          <w:kern w:val="0"/>
          <w:sz w:val="24"/>
          <w:szCs w:val="24"/>
          <w:highlight w:val="none"/>
        </w:rPr>
        <w:t>，</w:t>
      </w:r>
      <w:commentRangeEnd w:id="0"/>
      <w:r>
        <w:commentReference w:id="0"/>
      </w:r>
      <w:commentRangeEnd w:id="1"/>
      <w:r>
        <w:commentReference w:id="1"/>
      </w:r>
      <w:r>
        <w:rPr>
          <w:rFonts w:hint="default" w:ascii="Times New Roman" w:hAnsi="Times New Roman" w:eastAsia="宋体" w:cs="Times New Roman"/>
          <w:color w:val="auto"/>
          <w:kern w:val="0"/>
          <w:sz w:val="24"/>
          <w:szCs w:val="24"/>
        </w:rPr>
        <w:t>建设单位</w:t>
      </w:r>
      <w:r>
        <w:rPr>
          <w:rFonts w:hint="default" w:ascii="Times New Roman" w:hAnsi="Times New Roman" w:eastAsia="宋体" w:cs="Times New Roman"/>
          <w:color w:val="auto"/>
          <w:kern w:val="0"/>
          <w:sz w:val="24"/>
          <w:szCs w:val="24"/>
          <w:lang w:val="en-US" w:eastAsia="zh-CN"/>
        </w:rPr>
        <w:t>德清创达塑料制品有限公司</w:t>
      </w:r>
      <w:r>
        <w:rPr>
          <w:rFonts w:hint="default" w:ascii="Times New Roman" w:hAnsi="Times New Roman" w:eastAsia="宋体" w:cs="Times New Roman"/>
          <w:color w:val="auto"/>
          <w:kern w:val="0"/>
          <w:sz w:val="24"/>
          <w:szCs w:val="24"/>
        </w:rPr>
        <w:t>根据《</w:t>
      </w:r>
      <w:r>
        <w:rPr>
          <w:rFonts w:hint="default" w:ascii="Times New Roman" w:hAnsi="Times New Roman" w:eastAsia="宋体" w:cs="Times New Roman"/>
          <w:color w:val="auto"/>
          <w:kern w:val="0"/>
          <w:sz w:val="24"/>
          <w:szCs w:val="24"/>
          <w:lang w:val="en-US" w:eastAsia="zh-CN"/>
        </w:rPr>
        <w:t>德清创达塑料制品有限公司2023年德清创达塑料年产200吨EPP、EPS包装材料项目</w:t>
      </w:r>
      <w:r>
        <w:rPr>
          <w:rFonts w:hint="default" w:ascii="Times New Roman" w:hAnsi="Times New Roman" w:eastAsia="宋体" w:cs="Times New Roman"/>
          <w:color w:val="auto"/>
          <w:kern w:val="0"/>
          <w:sz w:val="24"/>
          <w:szCs w:val="24"/>
        </w:rPr>
        <w:t>竣工环境保护验收监测报告表》，并对照《建设项目竣工环境保护验收暂行办法》，严格依照国家有关法律法规、建设项目竣工环境保护验收技术规范、本项目环境影响</w:t>
      </w:r>
      <w:r>
        <w:rPr>
          <w:rFonts w:hint="default" w:ascii="Times New Roman" w:hAnsi="Times New Roman" w:eastAsia="宋体" w:cs="Times New Roman"/>
          <w:color w:val="auto"/>
          <w:kern w:val="0"/>
          <w:sz w:val="24"/>
          <w:szCs w:val="24"/>
          <w:lang w:val="en-US" w:eastAsia="zh-CN"/>
        </w:rPr>
        <w:t>报告</w:t>
      </w:r>
      <w:r>
        <w:rPr>
          <w:rFonts w:hint="default" w:ascii="Times New Roman" w:hAnsi="Times New Roman" w:eastAsia="宋体" w:cs="Times New Roman"/>
          <w:color w:val="auto"/>
          <w:kern w:val="0"/>
          <w:sz w:val="24"/>
          <w:szCs w:val="24"/>
        </w:rPr>
        <w:t>表和</w:t>
      </w:r>
      <w:r>
        <w:rPr>
          <w:rFonts w:hint="default" w:ascii="Times New Roman" w:hAnsi="Times New Roman" w:eastAsia="宋体" w:cs="Times New Roman"/>
          <w:color w:val="auto"/>
          <w:kern w:val="0"/>
          <w:sz w:val="24"/>
          <w:szCs w:val="24"/>
          <w:lang w:val="en-US" w:eastAsia="zh-CN"/>
        </w:rPr>
        <w:t>审查意见</w:t>
      </w:r>
      <w:r>
        <w:rPr>
          <w:rFonts w:hint="default" w:ascii="Times New Roman" w:hAnsi="Times New Roman" w:eastAsia="宋体" w:cs="Times New Roman"/>
          <w:color w:val="auto"/>
          <w:kern w:val="0"/>
          <w:sz w:val="24"/>
          <w:szCs w:val="24"/>
        </w:rPr>
        <w:t>等要求对本项目进行验收，提出意见如下：</w:t>
      </w:r>
    </w:p>
    <w:p>
      <w:pPr>
        <w:keepNext w:val="0"/>
        <w:keepLines w:val="0"/>
        <w:pageBreakBefore w:val="0"/>
        <w:kinsoku/>
        <w:wordWrap/>
        <w:overflowPunct/>
        <w:topLinePunct w:val="0"/>
        <w:autoSpaceDE/>
        <w:autoSpaceDN/>
        <w:bidi w:val="0"/>
        <w:spacing w:line="360" w:lineRule="auto"/>
        <w:ind w:left="0" w:leftChars="0"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一、建设项目基本情况：</w:t>
      </w:r>
    </w:p>
    <w:p>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德清创达塑料制品有限公司成立于2015年01月07日，是一家从事EPP、EPS销售等业务的公司。企业成立时生产经营厂址位于浙江省湖州市德清县新市镇工业园区（城东村新市贵稀金属粉末厂东），系租用德清县曹氏天然制品有限公司闲置工业厂房组织生产。</w:t>
      </w:r>
    </w:p>
    <w:p>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现德清创达塑料制品有限公司将项目搬迁至浙江省湖州市德清县新市镇经开区（新市园）状元北路36号，系租用德清佳健智能科技有限公司约3000m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新的空置厂房，企业淘汰</w:t>
      </w:r>
      <w:r>
        <w:rPr>
          <w:rFonts w:hint="eastAsia" w:cs="Times New Roman"/>
          <w:color w:val="0000FF"/>
          <w:sz w:val="24"/>
          <w:szCs w:val="24"/>
          <w:lang w:val="en-US" w:eastAsia="zh-CN"/>
        </w:rPr>
        <w:t>原有</w:t>
      </w:r>
      <w:commentRangeStart w:id="2"/>
      <w:commentRangeStart w:id="3"/>
      <w:r>
        <w:rPr>
          <w:rFonts w:hint="default" w:ascii="Times New Roman" w:hAnsi="Times New Roman" w:eastAsia="宋体" w:cs="Times New Roman"/>
          <w:color w:val="0000FF"/>
          <w:sz w:val="24"/>
          <w:szCs w:val="24"/>
          <w:lang w:val="en-US" w:eastAsia="zh-CN"/>
        </w:rPr>
        <w:t>的</w:t>
      </w:r>
      <w:commentRangeEnd w:id="2"/>
      <w:r>
        <w:commentReference w:id="2"/>
      </w:r>
      <w:commentRangeEnd w:id="3"/>
      <w:r>
        <w:commentReference w:id="3"/>
      </w:r>
      <w:r>
        <w:rPr>
          <w:rFonts w:hint="default" w:ascii="Times New Roman" w:hAnsi="Times New Roman" w:eastAsia="宋体" w:cs="Times New Roman"/>
          <w:color w:val="auto"/>
          <w:sz w:val="24"/>
          <w:szCs w:val="24"/>
          <w:lang w:val="en-US" w:eastAsia="zh-CN"/>
        </w:rPr>
        <w:t>半自动成型机，购置新的全自动成型机进行替代。项目已由德清县经济和信息化局会出具项目备案通知书，备案文号为：2312-330521-07-02-350570。</w:t>
      </w:r>
    </w:p>
    <w:p>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于2024年4月委托浙江仕远环境科技有限公司编制了《德清创达塑料制品有限公司2023年德清创达塑料年产200吨EPP、EPS包装材料项目环境影响报告表》，并于2024年4月18日通过湖州市生态环境局德清分局审批，审批文号为湖德环建〔2024〕51号。企业于2024年8月26日完成固定污染源排污登记变更，编号为：91330521L722543871001X，有效期2024年8月26日至2029年8月25日。</w:t>
      </w:r>
    </w:p>
    <w:p>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lang w:val="en-US" w:eastAsia="zh-CN"/>
        </w:rPr>
        <w:t>企业于2024年4月19日开工建设进行设备安装，于2024年4月29日竣工，于2024年4月30日进行设备调试，调试后进入试生产阶段</w:t>
      </w:r>
      <w:r>
        <w:rPr>
          <w:rFonts w:hint="default" w:ascii="Times New Roman" w:hAnsi="Times New Roman" w:eastAsia="宋体" w:cs="Times New Roman"/>
          <w:color w:val="auto"/>
          <w:sz w:val="24"/>
          <w:szCs w:val="24"/>
        </w:rPr>
        <w:t>。本次验收项目</w:t>
      </w:r>
      <w:r>
        <w:rPr>
          <w:rFonts w:hint="default" w:ascii="Times New Roman" w:hAnsi="Times New Roman" w:eastAsia="宋体" w:cs="Times New Roman"/>
          <w:color w:val="auto"/>
          <w:sz w:val="24"/>
          <w:szCs w:val="24"/>
          <w:lang w:val="en-US" w:eastAsia="zh-CN"/>
        </w:rPr>
        <w:t>实际总投资</w:t>
      </w:r>
      <w:r>
        <w:rPr>
          <w:rFonts w:hint="eastAsia" w:cs="Times New Roman"/>
          <w:color w:val="auto"/>
          <w:sz w:val="24"/>
          <w:szCs w:val="24"/>
          <w:lang w:val="en-US" w:eastAsia="zh-CN"/>
        </w:rPr>
        <w:t>1800</w:t>
      </w:r>
      <w:r>
        <w:rPr>
          <w:rFonts w:hint="default" w:ascii="Times New Roman" w:hAnsi="Times New Roman" w:eastAsia="宋体" w:cs="Times New Roman"/>
          <w:color w:val="auto"/>
          <w:sz w:val="24"/>
          <w:szCs w:val="24"/>
          <w:lang w:val="en-US" w:eastAsia="zh-CN"/>
        </w:rPr>
        <w:t>万元，其中环保投资</w:t>
      </w:r>
      <w:r>
        <w:rPr>
          <w:rFonts w:hint="eastAsia" w:cs="Times New Roman"/>
          <w:color w:val="auto"/>
          <w:sz w:val="24"/>
          <w:szCs w:val="24"/>
          <w:lang w:val="en-US" w:eastAsia="zh-CN"/>
        </w:rPr>
        <w:t>16</w:t>
      </w:r>
      <w:r>
        <w:rPr>
          <w:rFonts w:hint="default" w:ascii="Times New Roman" w:hAnsi="Times New Roman" w:eastAsia="宋体" w:cs="Times New Roman"/>
          <w:color w:val="auto"/>
          <w:sz w:val="24"/>
          <w:szCs w:val="24"/>
          <w:lang w:val="en-US" w:eastAsia="zh-CN"/>
        </w:rPr>
        <w:t>万元，约占项目总投资的</w:t>
      </w:r>
      <w:r>
        <w:rPr>
          <w:rFonts w:hint="eastAsia" w:cs="Times New Roman"/>
          <w:color w:val="auto"/>
          <w:sz w:val="24"/>
          <w:szCs w:val="24"/>
          <w:lang w:val="en-US" w:eastAsia="zh-CN"/>
        </w:rPr>
        <w:t>0.89</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公司于2024年5月着手开展本项目的自主竣工环境保护验收工作，对照项目环评文件和备案承诺书，对项目和环境保护设施建设情况进行了验收自查，然后根据自查结果于2024年5月、2025年2月编制完成验收监测方案，并委托浙江安联检测技术服务有限公司于2024年5月7日-2024年5月8日，湖州天亿环境检测有限公司2025年2月13日-2025年2月14日（补充夜间检测结果）进行了现场验收监测，通过对该工程“三同时”执行情况和效果的检查并依据监测结果及相应的国家有关环境标准，编制了本项目竣工环境保护验收监测报告表</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本次验收</w:t>
      </w:r>
      <w:r>
        <w:rPr>
          <w:rFonts w:hint="default" w:ascii="Times New Roman" w:hAnsi="Times New Roman" w:eastAsia="宋体" w:cs="Times New Roman"/>
          <w:color w:val="auto"/>
          <w:sz w:val="24"/>
          <w:szCs w:val="24"/>
          <w:lang w:eastAsia="zh-CN"/>
        </w:rPr>
        <w:t>范围</w:t>
      </w:r>
      <w:r>
        <w:rPr>
          <w:rFonts w:hint="default" w:ascii="Times New Roman" w:hAnsi="Times New Roman" w:eastAsia="宋体" w:cs="Times New Roman"/>
          <w:color w:val="auto"/>
          <w:sz w:val="24"/>
          <w:szCs w:val="24"/>
        </w:rPr>
        <w:t>为企业</w:t>
      </w:r>
      <w:r>
        <w:rPr>
          <w:rFonts w:hint="default" w:ascii="Times New Roman" w:hAnsi="Times New Roman" w:eastAsia="宋体" w:cs="Times New Roman"/>
          <w:color w:val="auto"/>
          <w:sz w:val="24"/>
          <w:szCs w:val="24"/>
          <w:lang w:eastAsia="zh-CN"/>
        </w:rPr>
        <w:t>2023年德清创达塑料年产200吨EPP、EPS包装材料项目</w:t>
      </w:r>
      <w:r>
        <w:rPr>
          <w:rFonts w:hint="default" w:ascii="Times New Roman" w:hAnsi="Times New Roman" w:eastAsia="宋体" w:cs="Times New Roman"/>
          <w:color w:val="auto"/>
          <w:sz w:val="24"/>
          <w:szCs w:val="24"/>
        </w:rPr>
        <w:t>，对应的审批文号为</w:t>
      </w:r>
      <w:r>
        <w:rPr>
          <w:rFonts w:hint="default" w:ascii="Times New Roman" w:hAnsi="Times New Roman" w:eastAsia="宋体" w:cs="Times New Roman"/>
          <w:color w:val="auto"/>
          <w:sz w:val="24"/>
          <w:szCs w:val="24"/>
          <w:lang w:val="en-US" w:eastAsia="zh-CN"/>
        </w:rPr>
        <w:t>湖德环建〔2024〕51号</w:t>
      </w:r>
      <w:r>
        <w:rPr>
          <w:rFonts w:hint="default" w:ascii="Times New Roman" w:hAnsi="Times New Roman" w:eastAsia="宋体" w:cs="Times New Roman"/>
          <w:color w:val="auto"/>
          <w:sz w:val="24"/>
          <w:szCs w:val="24"/>
        </w:rPr>
        <w:t>。验收内容主要包括环保设施落实情况、污染物达标排放及总量控制情况。本次验收为整体竣工环境保护验收。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 xml:space="preserve">二、工程变动情况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bookmarkStart w:id="0" w:name="_Toc498351802"/>
      <w:bookmarkStart w:id="1" w:name="_Toc498412723"/>
      <w:bookmarkStart w:id="2" w:name="_Toc498700049"/>
      <w:r>
        <w:rPr>
          <w:rFonts w:hint="default" w:ascii="Times New Roman" w:hAnsi="Times New Roman" w:eastAsia="宋体" w:cs="Times New Roman"/>
          <w:color w:val="auto"/>
          <w:kern w:val="0"/>
          <w:sz w:val="24"/>
          <w:szCs w:val="24"/>
        </w:rPr>
        <w:t>经现场踏勘并对照环评文件，</w:t>
      </w: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2"/>
          <w:sz w:val="24"/>
          <w:szCs w:val="24"/>
          <w:lang w:val="en-US" w:eastAsia="zh-CN" w:bidi="ar"/>
        </w:rPr>
        <w:t>建设地点与环评审批一致，总平面布置与环评审批部分不一致，变化如下：</w:t>
      </w:r>
      <w:r>
        <w:rPr>
          <w:rFonts w:hint="default" w:ascii="Times New Roman" w:hAnsi="Times New Roman" w:eastAsia="宋体" w:cs="Times New Roman"/>
          <w:b/>
          <w:bCs/>
          <w:color w:val="auto"/>
          <w:kern w:val="2"/>
          <w:sz w:val="24"/>
          <w:szCs w:val="24"/>
          <w:lang w:val="en-US" w:eastAsia="zh-CN" w:bidi="ar"/>
        </w:rPr>
        <w:t>环评审批</w:t>
      </w:r>
      <w:r>
        <w:rPr>
          <w:rFonts w:hint="default" w:ascii="Times New Roman" w:hAnsi="Times New Roman" w:eastAsia="宋体" w:cs="Times New Roman"/>
          <w:color w:val="auto"/>
          <w:kern w:val="2"/>
          <w:sz w:val="24"/>
          <w:szCs w:val="24"/>
          <w:lang w:val="en-US" w:eastAsia="zh-CN" w:bidi="ar"/>
        </w:rPr>
        <w:t>1层设置有预发泡、熟化、成型、烘干、切割等生产区、原材料区、成品堆场、一般固废暂存场所、危废仓库、办公区；</w:t>
      </w:r>
      <w:r>
        <w:rPr>
          <w:rFonts w:hint="default" w:ascii="Times New Roman" w:hAnsi="Times New Roman" w:eastAsia="宋体" w:cs="Times New Roman"/>
          <w:b/>
          <w:bCs/>
          <w:color w:val="auto"/>
          <w:kern w:val="2"/>
          <w:sz w:val="24"/>
          <w:szCs w:val="24"/>
          <w:lang w:val="en-US" w:eastAsia="zh-CN" w:bidi="ar"/>
        </w:rPr>
        <w:t>实际</w:t>
      </w:r>
      <w:r>
        <w:rPr>
          <w:rFonts w:hint="default" w:ascii="Times New Roman" w:hAnsi="Times New Roman" w:eastAsia="宋体" w:cs="Times New Roman"/>
          <w:color w:val="auto"/>
          <w:kern w:val="2"/>
          <w:sz w:val="24"/>
          <w:szCs w:val="24"/>
          <w:lang w:val="en-US" w:eastAsia="zh-CN" w:bidi="ar"/>
        </w:rPr>
        <w:t>1层设置有预发泡、熟化、成型、烘干、切割等生产区、原材料区、成品堆场、一般固废暂存场所。总建筑面积与环评审批一致。上述变化未导致环境防护距离范围变化且新增敏感点的情况</w:t>
      </w:r>
      <w:r>
        <w:rPr>
          <w:rFonts w:hint="default" w:ascii="Times New Roman" w:hAnsi="Times New Roman" w:eastAsia="宋体" w:cs="Times New Roman"/>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2"/>
          <w:sz w:val="24"/>
          <w:szCs w:val="24"/>
          <w:lang w:val="en-US" w:eastAsia="zh-CN" w:bidi="ar"/>
        </w:rPr>
        <w:t>2、</w:t>
      </w:r>
      <w:commentRangeStart w:id="4"/>
      <w:commentRangeStart w:id="5"/>
      <w:r>
        <w:commentReference w:id="4"/>
      </w:r>
      <w:commentRangeEnd w:id="4"/>
      <w:commentRangeEnd w:id="5"/>
      <w:r>
        <w:commentReference w:id="5"/>
      </w:r>
      <w:r>
        <w:rPr>
          <w:rFonts w:hint="default" w:ascii="Times New Roman" w:hAnsi="Times New Roman" w:eastAsia="宋体" w:cs="Times New Roman"/>
          <w:b w:val="0"/>
          <w:bCs w:val="0"/>
          <w:color w:val="auto"/>
          <w:sz w:val="24"/>
          <w:szCs w:val="24"/>
          <w:lang w:val="en-US" w:eastAsia="zh-CN"/>
        </w:rPr>
        <w:t>环评审批废活性炭集中收集至危废仓库后委托资质单位处理，实际废活性炭由浙江悦胜环境科技有限公司更换并直接带走，不在厂区内暂存，故无需设置危废仓库。以上不导致不利环境影响加重。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outlineLvl w:val="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项目性质、</w:t>
      </w:r>
      <w:r>
        <w:rPr>
          <w:rFonts w:hint="default" w:ascii="Times New Roman" w:hAnsi="Times New Roman" w:eastAsia="宋体" w:cs="Times New Roman"/>
          <w:color w:val="auto"/>
          <w:kern w:val="0"/>
          <w:sz w:val="24"/>
          <w:szCs w:val="24"/>
          <w:lang w:val="en-US" w:eastAsia="zh-CN"/>
        </w:rPr>
        <w:t>规模</w:t>
      </w:r>
      <w:r>
        <w:rPr>
          <w:rFonts w:hint="eastAsia" w:cs="Times New Roman"/>
          <w:color w:val="auto"/>
          <w:kern w:val="0"/>
          <w:sz w:val="24"/>
          <w:szCs w:val="24"/>
          <w:lang w:val="en-US" w:eastAsia="zh-CN"/>
        </w:rPr>
        <w:t>、生产工艺</w:t>
      </w:r>
      <w:r>
        <w:rPr>
          <w:rFonts w:hint="default" w:ascii="Times New Roman" w:hAnsi="Times New Roman" w:eastAsia="宋体" w:cs="Times New Roman"/>
          <w:color w:val="auto"/>
          <w:kern w:val="0"/>
          <w:sz w:val="24"/>
          <w:szCs w:val="24"/>
        </w:rPr>
        <w:t>与环评及批复保持一致，基本无变动。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outlineLvl w:val="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对照生态环境部 环办环评函〔2020〕688 号关于印发《污染影响类建设项目重大变动清单(试行)》的通知相关内容，企业不属于重大变动。</w:t>
      </w:r>
    </w:p>
    <w:bookmarkEnd w:id="0"/>
    <w:bookmarkEnd w:id="1"/>
    <w:bookmarkEnd w:id="2"/>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三、环境保护设施建设情况</w:t>
      </w:r>
    </w:p>
    <w:p>
      <w:pPr>
        <w:keepNext w:val="0"/>
        <w:keepLines w:val="0"/>
        <w:pageBreakBefore w:val="0"/>
        <w:kinsoku/>
        <w:wordWrap/>
        <w:overflowPunct/>
        <w:topLinePunct w:val="0"/>
        <w:autoSpaceDE/>
        <w:autoSpaceDN/>
        <w:bidi w:val="0"/>
        <w:spacing w:line="360" w:lineRule="auto"/>
        <w:ind w:left="0" w:leftChars="0" w:firstLine="480" w:firstLineChars="200"/>
        <w:textAlignment w:val="auto"/>
        <w:outlineLvl w:val="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（一）废水：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本项目营运过程产生的废水主要是生活污水、蒸汽冷凝水和冷却水。</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①生活污水：经化粪池预处理后，纳管至浙江德清金开水务有限公司集中处理，达标排放；</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②蒸汽冷凝水经收集后作冷却水用，不排放；</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rPr>
        <w:t>③冷却水：循环使用，不排放，只需根据损耗定期添加新鲜水</w:t>
      </w:r>
      <w:r>
        <w:rPr>
          <w:rFonts w:hint="default" w:ascii="Times New Roman" w:hAnsi="Times New Roman" w:eastAsia="宋体" w:cs="Times New Roman"/>
          <w:color w:val="auto"/>
          <w:sz w:val="24"/>
          <w:szCs w:val="24"/>
          <w:lang w:val="en-US" w:eastAsia="zh-CN"/>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废气：</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本项目营运过程产生的废气主要为EPS包装材料、EPP包装材料生产废气。</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①EPS包装材料、EPP包装材料生产废气</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color w:val="auto"/>
          <w:sz w:val="24"/>
          <w:szCs w:val="24"/>
          <w:lang w:val="en-US" w:eastAsia="zh-CN"/>
        </w:rPr>
        <w:t>本项目预发泡机、全自动间歇式预发泡机、成型机设备密闭，产生的废气通过设备顶部排气口经密闭集气管道收集，收集后统一通过一套二级活性炭吸附装置，尾气通过一</w:t>
      </w:r>
      <w:commentRangeStart w:id="6"/>
      <w:commentRangeStart w:id="7"/>
      <w:r>
        <w:rPr>
          <w:rFonts w:hint="default" w:ascii="Times New Roman" w:hAnsi="Times New Roman" w:eastAsia="宋体" w:cs="Times New Roman"/>
          <w:color w:val="auto"/>
          <w:sz w:val="24"/>
          <w:szCs w:val="24"/>
          <w:lang w:val="en-US" w:eastAsia="zh-CN"/>
        </w:rPr>
        <w:t>根</w:t>
      </w:r>
      <w:r>
        <w:rPr>
          <w:rFonts w:hint="eastAsia" w:ascii="Times New Roman" w:hAnsi="Times New Roman" w:cs="Times New Roman"/>
          <w:color w:val="0000FF"/>
          <w:sz w:val="24"/>
          <w:szCs w:val="24"/>
          <w:lang w:val="en-US" w:eastAsia="zh-CN"/>
        </w:rPr>
        <w:t>20</w:t>
      </w:r>
      <w:r>
        <w:rPr>
          <w:rFonts w:hint="default" w:ascii="Times New Roman" w:hAnsi="Times New Roman" w:eastAsia="宋体" w:cs="Times New Roman"/>
          <w:color w:val="0000FF"/>
          <w:sz w:val="24"/>
          <w:szCs w:val="24"/>
          <w:lang w:val="en-US" w:eastAsia="zh-CN"/>
        </w:rPr>
        <w:t>m</w:t>
      </w:r>
      <w:commentRangeEnd w:id="6"/>
      <w:r>
        <w:commentReference w:id="6"/>
      </w:r>
      <w:commentRangeEnd w:id="7"/>
      <w:r>
        <w:commentReference w:id="7"/>
      </w:r>
      <w:r>
        <w:rPr>
          <w:rFonts w:hint="default" w:ascii="Times New Roman" w:hAnsi="Times New Roman" w:eastAsia="宋体" w:cs="Times New Roman"/>
          <w:color w:val="auto"/>
          <w:sz w:val="24"/>
          <w:szCs w:val="24"/>
          <w:lang w:val="en-US" w:eastAsia="zh-CN"/>
        </w:rPr>
        <w:t>高的排气筒DA001排放。</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（三）噪声：</w:t>
      </w:r>
      <w:r>
        <w:rPr>
          <w:rFonts w:hint="default" w:ascii="Times New Roman" w:hAnsi="Times New Roman" w:eastAsia="宋体" w:cs="Times New Roman"/>
          <w:color w:val="auto"/>
          <w:sz w:val="24"/>
          <w:szCs w:val="24"/>
          <w:lang w:val="en-US" w:eastAsia="zh-CN"/>
        </w:rPr>
        <w:t>企业实行两班制生产，每班8小时，在生产过程中产生的噪声主要源自车间内设备和车间外风机运行产生的噪声。通过合理安排布局，生产设备设施选用低噪声设备，生产时关闭门窗，平时加强生产及工人操作的管理和设备维护保养，并通过墙体阻隔、距离和厂区四周绿化衰减。</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（四）固废：本项目营运过程产生的固体废物包括生活垃圾、一般工业固废和危险废物</w:t>
      </w:r>
      <w:r>
        <w:rPr>
          <w:rFonts w:hint="eastAsia"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本</w:t>
      </w:r>
      <w:r>
        <w:rPr>
          <w:rFonts w:hint="default" w:ascii="Times New Roman" w:hAnsi="Times New Roman" w:eastAsia="宋体" w:cs="Times New Roman"/>
          <w:color w:val="auto"/>
          <w:sz w:val="24"/>
          <w:szCs w:val="24"/>
          <w:lang w:val="en-US" w:eastAsia="zh-CN"/>
        </w:rPr>
        <w:t>项目生活垃圾</w:t>
      </w:r>
      <w:r>
        <w:rPr>
          <w:rFonts w:hint="eastAsia" w:ascii="Times New Roman" w:hAnsi="Times New Roman" w:cs="Times New Roman"/>
          <w:color w:val="auto"/>
          <w:sz w:val="24"/>
          <w:szCs w:val="24"/>
          <w:lang w:val="en-US" w:eastAsia="zh-CN"/>
        </w:rPr>
        <w:t>集中收集后委托当地环卫部门及时清运；泡沫制品边角料集中收集后出售给德清禹越镇阿强废品收购部；废活性炭由浙江悦胜环境科技有限公司更换并直接带走。本项目一般废物暂存场所位于厂房一层东侧，存放泡沫制品边角料，占地面积约15m</w:t>
      </w:r>
      <w:r>
        <w:rPr>
          <w:rFonts w:hint="eastAsia" w:ascii="Times New Roman" w:hAnsi="Times New Roman" w:cs="Times New Roman"/>
          <w:color w:val="auto"/>
          <w:sz w:val="24"/>
          <w:szCs w:val="24"/>
          <w:vertAlign w:val="superscript"/>
          <w:lang w:val="en-US" w:eastAsia="zh-CN"/>
        </w:rPr>
        <w:t>2</w:t>
      </w:r>
      <w:r>
        <w:rPr>
          <w:rFonts w:hint="eastAsia" w:ascii="Times New Roman" w:hAnsi="Times New Roman" w:cs="Times New Roman"/>
          <w:color w:val="auto"/>
          <w:sz w:val="24"/>
          <w:szCs w:val="24"/>
          <w:lang w:val="en-US" w:eastAsia="zh-CN"/>
        </w:rPr>
        <w:t>，暂存点为水泥地面，能做到防扬散、防流失、防止雨水的冲刷及防渗漏等相关要求，各类一般废物定置分类存放</w:t>
      </w:r>
      <w:r>
        <w:rPr>
          <w:rFonts w:hint="eastAsia" w:cs="Times New Roman"/>
          <w:color w:val="auto"/>
          <w:sz w:val="24"/>
          <w:szCs w:val="24"/>
          <w:lang w:val="en-US" w:eastAsia="zh-CN"/>
        </w:rPr>
        <w:t>；无需设置危废仓库*。</w:t>
      </w:r>
    </w:p>
    <w:p>
      <w:pPr>
        <w:pStyle w:val="2"/>
        <w:ind w:firstLine="420" w:firstLineChars="200"/>
        <w:rPr>
          <w:rFonts w:hint="default"/>
          <w:sz w:val="21"/>
          <w:szCs w:val="21"/>
          <w:lang w:val="en-US" w:eastAsia="zh-CN"/>
        </w:rPr>
      </w:pPr>
      <w:r>
        <w:rPr>
          <w:rFonts w:hint="eastAsia" w:ascii="Times New Roman" w:hAnsi="Times New Roman" w:cs="Times New Roman"/>
          <w:color w:val="auto"/>
          <w:sz w:val="21"/>
          <w:szCs w:val="21"/>
          <w:lang w:val="en-US" w:eastAsia="zh-CN"/>
        </w:rPr>
        <w:t>注：由于本项目产生的危废仅有废活性炭，实际废活性炭由浙江悦胜环境科技有限公司更换并直接带走，不在厂区内暂存，故无需设置危废仓库。</w:t>
      </w:r>
    </w:p>
    <w:p>
      <w:pPr>
        <w:pStyle w:val="10"/>
        <w:keepNext w:val="0"/>
        <w:keepLines w:val="0"/>
        <w:pageBreakBefore w:val="0"/>
        <w:numPr>
          <w:ilvl w:val="0"/>
          <w:numId w:val="3"/>
        </w:numPr>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环境风险防范措施：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（1）泄漏事故风险防范措施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①总平面布置严格遵守国家颁布的有关防火和安全等方面规范和规定，在危险源布置方面，充分考虑厂内职工和厂外敏感目标的安全，一旦出现突发性事件时，对人员造成的伤害最小；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②在生产装置等附近场所以及需要提醒人员注意的地点均应按标准设置各种安全标志，凡需要迅速发现并引起注意以防止发生事故的场所、部位，均按要求涂安全色；</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③车间布置需通风良好，保证易燃易爆和有毒物质迅速稀释和扩散。</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（2）火灾爆炸事故风险防范措施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①控制与消除火源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工作时严禁吸烟、携带火种、穿带钉皮鞋等进入易燃易爆区；动火必须按动火手续办理动火证，采取有效的防范措施；使用防爆型电器；严禁钢制工具敲打、撞击、抛掷；安装避雷装置；转动设备部位要保持清洁，防止因摩擦引起杂物等燃烧；危险固废运输要请专门的、有资质的运输单位，定期委托处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②加强管理、严格纪律，遵守各项规章制度和操作规程，严格执行岗位责任制；坚持巡回检查，发现问题及时处理；加强培训、教育和考核工作。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（3）物料贮存风险防范措施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①原料存放点应阴凉通风，远离热源、火种，防止日光曝晒，严禁受热。库内照明应采用防爆照明灯，存放点周围不得堆放任何可燃材料；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②对员工进行日常风险教育和培训，提高安全防范知识的宣传力度。企业定期对员工进行安全培训教育，从控制过程减少了风险事故的产生</w:t>
      </w:r>
      <w:r>
        <w:rPr>
          <w:rFonts w:hint="default" w:ascii="Times New Roman" w:hAnsi="Times New Roman" w:eastAsia="宋体" w:cs="Times New Roman"/>
          <w:color w:val="auto"/>
          <w:kern w:val="0"/>
          <w:sz w:val="24"/>
          <w:szCs w:val="24"/>
        </w:rPr>
        <w:t>。</w:t>
      </w:r>
    </w:p>
    <w:p>
      <w:pPr>
        <w:keepNext w:val="0"/>
        <w:keepLines w:val="0"/>
        <w:pageBreakBefore w:val="0"/>
        <w:kinsoku/>
        <w:wordWrap/>
        <w:overflowPunct/>
        <w:topLinePunct w:val="0"/>
        <w:autoSpaceDE/>
        <w:autoSpaceDN/>
        <w:bidi w:val="0"/>
        <w:spacing w:line="360" w:lineRule="auto"/>
        <w:ind w:left="0" w:leftChars="0"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四、环境保护设施调试监测结果</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浙江安联检测技术服务有限公司</w:t>
      </w:r>
      <w:r>
        <w:rPr>
          <w:rFonts w:hint="eastAsia" w:cs="Times New Roman"/>
          <w:color w:val="auto"/>
          <w:sz w:val="24"/>
          <w:szCs w:val="24"/>
          <w:lang w:val="en-US" w:eastAsia="zh-CN"/>
        </w:rPr>
        <w:t>、湖州天亿环境检测有限公司</w:t>
      </w:r>
      <w:r>
        <w:rPr>
          <w:rFonts w:hint="eastAsia" w:cs="Times New Roman"/>
          <w:color w:val="0000FF"/>
          <w:sz w:val="24"/>
          <w:szCs w:val="24"/>
          <w:lang w:val="en-US" w:eastAsia="zh-CN"/>
        </w:rPr>
        <w:t>（</w:t>
      </w:r>
      <w:commentRangeStart w:id="8"/>
      <w:commentRangeStart w:id="9"/>
      <w:r>
        <w:rPr>
          <w:color w:val="0000FF"/>
        </w:rPr>
        <w:commentReference w:id="8"/>
      </w:r>
      <w:commentRangeEnd w:id="8"/>
      <w:commentRangeEnd w:id="9"/>
      <w:r>
        <w:commentReference w:id="9"/>
      </w:r>
      <w:r>
        <w:rPr>
          <w:rFonts w:hint="eastAsia" w:cs="Times New Roman"/>
          <w:color w:val="0000FF"/>
          <w:sz w:val="24"/>
          <w:szCs w:val="24"/>
          <w:lang w:val="en-US" w:eastAsia="zh-CN"/>
        </w:rPr>
        <w:t>夜间检测结果）</w:t>
      </w: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kern w:val="0"/>
          <w:sz w:val="24"/>
          <w:szCs w:val="24"/>
        </w:rPr>
        <w:t>该项目进行了环境保护验收监测（报告编号</w:t>
      </w:r>
      <w:r>
        <w:rPr>
          <w:rFonts w:hint="eastAsia" w:cs="Times New Roman"/>
          <w:color w:val="auto"/>
          <w:kern w:val="0"/>
          <w:sz w:val="24"/>
          <w:szCs w:val="24"/>
          <w:lang w:val="en-US" w:eastAsia="zh-CN"/>
        </w:rPr>
        <w:t>分别为</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pacing w:val="-3"/>
          <w:sz w:val="24"/>
          <w:szCs w:val="24"/>
          <w:lang w:val="en-US" w:eastAsia="zh-CN"/>
        </w:rPr>
        <w:t>2024-H-730</w:t>
      </w:r>
      <w:r>
        <w:rPr>
          <w:rFonts w:hint="eastAsia" w:cs="Times New Roman"/>
          <w:color w:val="auto"/>
          <w:spacing w:val="-3"/>
          <w:sz w:val="24"/>
          <w:szCs w:val="24"/>
          <w:lang w:eastAsia="zh-CN"/>
        </w:rPr>
        <w:t>、</w:t>
      </w:r>
      <w:r>
        <w:rPr>
          <w:rFonts w:hint="eastAsia" w:cs="Times New Roman"/>
          <w:color w:val="auto"/>
          <w:spacing w:val="-3"/>
          <w:sz w:val="24"/>
          <w:szCs w:val="24"/>
          <w:lang w:val="en-US" w:eastAsia="zh-CN"/>
        </w:rPr>
        <w:t>天亿检测（2025）检242号</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z w:val="24"/>
          <w:szCs w:val="24"/>
        </w:rPr>
        <w:t>监测期间，该项目生产工况正常，生产工况负荷大于75%，符合竣工验收工况负荷要求。</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（一）环保设施处理效率</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（1）废水处理设施</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本项目无生产废水产生，不涉及废水处理设施处理效率问题</w:t>
      </w:r>
      <w:r>
        <w:rPr>
          <w:rFonts w:hint="default" w:ascii="Times New Roman" w:hAnsi="Times New Roman" w:eastAsia="宋体" w:cs="Times New Roman"/>
          <w:color w:val="auto"/>
          <w:sz w:val="24"/>
          <w:szCs w:val="24"/>
        </w:rPr>
        <w:t>。</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（2）废气处理设施</w:t>
      </w:r>
    </w:p>
    <w:p>
      <w:pPr>
        <w:pStyle w:val="18"/>
        <w:keepNext/>
        <w:keepLines/>
        <w:widowControl w:val="0"/>
        <w:suppressLineNumbers w:val="0"/>
        <w:autoSpaceDE w:val="0"/>
        <w:autoSpaceDN w:val="0"/>
        <w:adjustRightInd w:val="0"/>
        <w:spacing w:before="0" w:beforeLines="0" w:beforeAutospacing="0" w:after="0" w:afterLines="0" w:afterAutospacing="0" w:line="360" w:lineRule="auto"/>
        <w:ind w:left="0" w:right="0" w:firstLine="480" w:firstLineChars="200"/>
        <w:jc w:val="both"/>
        <w:outlineLvl w:val="1"/>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val="0"/>
          <w:bCs w:val="0"/>
          <w:color w:val="auto"/>
          <w:kern w:val="2"/>
          <w:sz w:val="24"/>
          <w:szCs w:val="24"/>
          <w:lang w:val="en-US" w:eastAsia="zh-CN" w:bidi="ar"/>
        </w:rPr>
        <w:t>污染物去除效率根据废气处理设施进出口检测数据计算，得到项目配备废气处理设施对挥发性有机物（VOCs）的去除效率，具体见下表</w:t>
      </w:r>
      <w:r>
        <w:rPr>
          <w:rFonts w:hint="eastAsia" w:ascii="Times New Roman" w:hAnsi="Times New Roman" w:cs="Times New Roman"/>
          <w:b w:val="0"/>
          <w:bCs w:val="0"/>
          <w:color w:val="auto"/>
          <w:kern w:val="2"/>
          <w:sz w:val="24"/>
          <w:szCs w:val="24"/>
          <w:lang w:val="en-US" w:eastAsia="zh-CN" w:bidi="ar"/>
        </w:rPr>
        <w:t>1</w:t>
      </w:r>
      <w:r>
        <w:rPr>
          <w:rFonts w:hint="default" w:ascii="Times New Roman" w:hAnsi="Times New Roman" w:eastAsia="宋体" w:cs="Times New Roman"/>
          <w:b w:val="0"/>
          <w:bCs w:val="0"/>
          <w:color w:val="auto"/>
          <w:kern w:val="2"/>
          <w:sz w:val="24"/>
          <w:szCs w:val="24"/>
          <w:lang w:val="en-US" w:eastAsia="zh-CN" w:bidi="ar"/>
        </w:rPr>
        <w:t>。</w:t>
      </w:r>
    </w:p>
    <w:p>
      <w:pPr>
        <w:pStyle w:val="18"/>
        <w:keepNext w:val="0"/>
        <w:keepLines w:val="0"/>
        <w:widowControl w:val="0"/>
        <w:suppressLineNumbers w:val="0"/>
        <w:autoSpaceDE w:val="0"/>
        <w:autoSpaceDN/>
        <w:spacing w:before="0" w:beforeAutospacing="0" w:after="0" w:afterLines="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表</w:t>
      </w:r>
      <w:r>
        <w:rPr>
          <w:rFonts w:hint="eastAsia" w:ascii="Times New Roman" w:hAnsi="Times New Roman" w:cs="Times New Roman"/>
          <w:b/>
          <w:bCs/>
          <w:color w:val="auto"/>
          <w:kern w:val="2"/>
          <w:sz w:val="21"/>
          <w:szCs w:val="21"/>
          <w:lang w:val="en-US" w:eastAsia="zh-CN" w:bidi="ar"/>
        </w:rPr>
        <w:t>1</w:t>
      </w:r>
      <w:r>
        <w:rPr>
          <w:rFonts w:hint="default" w:ascii="Times New Roman" w:hAnsi="Times New Roman" w:eastAsia="宋体" w:cs="Times New Roman"/>
          <w:b/>
          <w:bCs/>
          <w:color w:val="auto"/>
          <w:kern w:val="2"/>
          <w:sz w:val="21"/>
          <w:szCs w:val="21"/>
          <w:lang w:val="en-US" w:eastAsia="zh-CN" w:bidi="ar"/>
        </w:rPr>
        <w:t xml:space="preserve">  废气处理效果一览表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81"/>
        <w:gridCol w:w="1044"/>
        <w:gridCol w:w="1438"/>
        <w:gridCol w:w="1805"/>
        <w:gridCol w:w="1806"/>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61"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废气处理设施</w:t>
            </w:r>
          </w:p>
        </w:tc>
        <w:tc>
          <w:tcPr>
            <w:tcW w:w="2452" w:type="dxa"/>
            <w:gridSpan w:val="2"/>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污染物</w:t>
            </w:r>
          </w:p>
        </w:tc>
        <w:tc>
          <w:tcPr>
            <w:tcW w:w="1783"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进口</w:t>
            </w:r>
          </w:p>
        </w:tc>
        <w:tc>
          <w:tcPr>
            <w:tcW w:w="1784"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出口</w:t>
            </w:r>
          </w:p>
        </w:tc>
        <w:tc>
          <w:tcPr>
            <w:tcW w:w="1620"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去除效率（</w:t>
            </w:r>
            <w:r>
              <w:rPr>
                <w:rFonts w:hint="default" w:ascii="Times New Roman" w:hAnsi="Times New Roman" w:eastAsia="宋体" w:cs="Times New Roman"/>
                <w:b/>
                <w:bCs/>
                <w:color w:val="auto"/>
                <w:kern w:val="2"/>
                <w:sz w:val="21"/>
                <w:szCs w:val="21"/>
                <w:lang w:val="en-US" w:eastAsia="zh-CN" w:bidi="ar"/>
              </w:rPr>
              <w:t>%</w:t>
            </w:r>
            <w:r>
              <w:rPr>
                <w:rFonts w:hint="eastAsia" w:ascii="宋体" w:hAnsi="宋体" w:eastAsia="宋体" w:cs="宋体"/>
                <w:b/>
                <w:bCs/>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2452" w:type="dxa"/>
            <w:gridSpan w:val="2"/>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783"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平均速率（</w:t>
            </w:r>
            <w:r>
              <w:rPr>
                <w:rFonts w:hint="default" w:ascii="Times New Roman" w:hAnsi="Times New Roman" w:eastAsia="宋体" w:cs="Times New Roman"/>
                <w:b/>
                <w:bCs/>
                <w:color w:val="auto"/>
                <w:kern w:val="2"/>
                <w:sz w:val="21"/>
                <w:szCs w:val="21"/>
                <w:lang w:val="en-US" w:eastAsia="zh-CN" w:bidi="ar"/>
              </w:rPr>
              <w:t>kg/h</w:t>
            </w:r>
            <w:r>
              <w:rPr>
                <w:rFonts w:hint="eastAsia" w:ascii="宋体" w:hAnsi="宋体" w:eastAsia="宋体" w:cs="宋体"/>
                <w:b/>
                <w:bCs/>
                <w:color w:val="auto"/>
                <w:kern w:val="2"/>
                <w:sz w:val="21"/>
                <w:szCs w:val="21"/>
                <w:lang w:val="en-US" w:eastAsia="zh-CN" w:bidi="ar"/>
              </w:rPr>
              <w:t>）</w:t>
            </w:r>
          </w:p>
        </w:tc>
        <w:tc>
          <w:tcPr>
            <w:tcW w:w="1784"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平均速率（</w:t>
            </w:r>
            <w:r>
              <w:rPr>
                <w:rFonts w:hint="default" w:ascii="Times New Roman" w:hAnsi="Times New Roman" w:eastAsia="宋体" w:cs="Times New Roman"/>
                <w:b/>
                <w:bCs/>
                <w:color w:val="auto"/>
                <w:kern w:val="2"/>
                <w:sz w:val="21"/>
                <w:szCs w:val="21"/>
                <w:lang w:val="en-US" w:eastAsia="zh-CN" w:bidi="ar"/>
              </w:rPr>
              <w:t>kg/h</w:t>
            </w:r>
            <w:r>
              <w:rPr>
                <w:rFonts w:hint="eastAsia" w:ascii="宋体" w:hAnsi="宋体" w:eastAsia="宋体" w:cs="宋体"/>
                <w:b/>
                <w:bCs/>
                <w:color w:val="auto"/>
                <w:kern w:val="2"/>
                <w:sz w:val="21"/>
                <w:szCs w:val="21"/>
                <w:lang w:val="en-US" w:eastAsia="zh-CN" w:bidi="ar"/>
              </w:rPr>
              <w:t>）</w:t>
            </w:r>
          </w:p>
        </w:tc>
        <w:tc>
          <w:tcPr>
            <w:tcW w:w="1620"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lang w:val="en-US" w:eastAsia="zh-CN" w:bidi="ar"/>
              </w:rPr>
              <w:t>二级活性炭吸附装置</w:t>
            </w:r>
          </w:p>
        </w:tc>
        <w:tc>
          <w:tcPr>
            <w:tcW w:w="1031"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highlight w:val="none"/>
                <w:vertAlign w:val="baseline"/>
                <w:lang w:val="en-US" w:eastAsia="zh-CN" w:bidi="ar-SA"/>
              </w:rPr>
            </w:pPr>
            <w:r>
              <w:rPr>
                <w:rFonts w:hint="default" w:ascii="Times New Roman" w:hAnsi="Times New Roman" w:eastAsia="宋体" w:cs="Times New Roman"/>
                <w:color w:val="auto"/>
                <w:highlight w:val="none"/>
                <w:vertAlign w:val="baseline"/>
                <w:lang w:val="en-US" w:eastAsia="zh-CN"/>
              </w:rPr>
              <w:t>2024.5.7</w:t>
            </w:r>
          </w:p>
        </w:tc>
        <w:tc>
          <w:tcPr>
            <w:tcW w:w="1421"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highlight w:val="none"/>
                <w:vertAlign w:val="baseline"/>
                <w:lang w:val="en-US" w:eastAsia="zh-CN"/>
              </w:rPr>
              <w:t>非甲烷总烃</w:t>
            </w:r>
          </w:p>
        </w:tc>
        <w:tc>
          <w:tcPr>
            <w:tcW w:w="1783"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22"/>
                <w:highlight w:val="none"/>
                <w:vertAlign w:val="baseline"/>
                <w:lang w:val="en-US" w:eastAsia="zh-CN" w:bidi="ar-SA"/>
              </w:rPr>
            </w:pPr>
            <w:r>
              <w:rPr>
                <w:rFonts w:hint="default" w:ascii="Times New Roman" w:hAnsi="Times New Roman" w:cs="Times New Roman" w:eastAsiaTheme="minorEastAsia"/>
                <w:color w:val="auto"/>
                <w:highlight w:val="none"/>
                <w:vertAlign w:val="baseline"/>
                <w:lang w:val="en-US" w:eastAsia="zh-CN"/>
              </w:rPr>
              <w:t>4.47×10</w:t>
            </w:r>
            <w:r>
              <w:rPr>
                <w:rFonts w:hint="default" w:ascii="Times New Roman" w:hAnsi="Times New Roman" w:cs="Times New Roman" w:eastAsiaTheme="minorEastAsia"/>
                <w:color w:val="auto"/>
                <w:highlight w:val="none"/>
                <w:vertAlign w:val="superscript"/>
                <w:lang w:val="en-US" w:eastAsia="zh-CN"/>
              </w:rPr>
              <w:t>-2</w:t>
            </w:r>
          </w:p>
        </w:tc>
        <w:tc>
          <w:tcPr>
            <w:tcW w:w="1784"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22"/>
                <w:highlight w:val="none"/>
                <w:vertAlign w:val="baseline"/>
                <w:lang w:val="en-US" w:eastAsia="zh-CN" w:bidi="ar-SA"/>
              </w:rPr>
            </w:pPr>
            <w:r>
              <w:rPr>
                <w:rFonts w:hint="default" w:ascii="Times New Roman" w:hAnsi="Times New Roman" w:cs="Times New Roman" w:eastAsiaTheme="minorEastAsia"/>
                <w:color w:val="auto"/>
                <w:highlight w:val="none"/>
                <w:vertAlign w:val="baseline"/>
                <w:lang w:val="en-US" w:eastAsia="zh-CN"/>
              </w:rPr>
              <w:t>1.68×10</w:t>
            </w:r>
            <w:r>
              <w:rPr>
                <w:rFonts w:hint="default" w:ascii="Times New Roman" w:hAnsi="Times New Roman" w:cs="Times New Roman" w:eastAsiaTheme="minorEastAsia"/>
                <w:color w:val="auto"/>
                <w:highlight w:val="none"/>
                <w:vertAlign w:val="superscript"/>
                <w:lang w:val="en-US" w:eastAsia="zh-CN"/>
              </w:rPr>
              <w:t>-2</w:t>
            </w:r>
          </w:p>
        </w:tc>
        <w:tc>
          <w:tcPr>
            <w:tcW w:w="1620"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highlight w:val="none"/>
                <w:vertAlign w:val="baseline"/>
                <w:lang w:val="en-US" w:eastAsia="zh-CN" w:bidi="ar-SA"/>
              </w:rPr>
            </w:pPr>
            <w:r>
              <w:rPr>
                <w:rFonts w:hint="default" w:ascii="Times New Roman" w:hAnsi="Times New Roman" w:cs="Times New Roman"/>
                <w:color w:val="auto"/>
                <w:highlight w:val="none"/>
                <w:vertAlign w:val="baseline"/>
                <w:lang w:val="en-US" w:eastAsia="zh-CN"/>
              </w:rPr>
              <w:t>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031"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highlight w:val="none"/>
                <w:vertAlign w:val="baseline"/>
                <w:lang w:val="en-US" w:eastAsia="zh-CN" w:bidi="ar-SA"/>
              </w:rPr>
            </w:pPr>
            <w:r>
              <w:rPr>
                <w:rFonts w:hint="default" w:ascii="Times New Roman" w:hAnsi="Times New Roman" w:eastAsia="宋体" w:cs="Times New Roman"/>
                <w:color w:val="auto"/>
                <w:highlight w:val="none"/>
                <w:vertAlign w:val="baseline"/>
                <w:lang w:val="en-US" w:eastAsia="zh-CN"/>
              </w:rPr>
              <w:t>2024.5.</w:t>
            </w:r>
            <w:r>
              <w:rPr>
                <w:rFonts w:hint="default" w:ascii="Times New Roman" w:hAnsi="Times New Roman" w:cs="Times New Roman"/>
                <w:color w:val="auto"/>
                <w:highlight w:val="none"/>
                <w:vertAlign w:val="baseline"/>
                <w:lang w:val="en-US" w:eastAsia="zh-CN"/>
              </w:rPr>
              <w:t>8</w:t>
            </w:r>
          </w:p>
        </w:tc>
        <w:tc>
          <w:tcPr>
            <w:tcW w:w="1421"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highlight w:val="none"/>
                <w:vertAlign w:val="baseline"/>
                <w:lang w:val="en-US" w:eastAsia="zh-CN"/>
              </w:rPr>
              <w:t>非甲烷总烃</w:t>
            </w:r>
          </w:p>
        </w:tc>
        <w:tc>
          <w:tcPr>
            <w:tcW w:w="1783"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22"/>
                <w:highlight w:val="none"/>
                <w:vertAlign w:val="baseline"/>
                <w:lang w:val="en-US" w:eastAsia="zh-CN" w:bidi="ar-SA"/>
              </w:rPr>
            </w:pPr>
            <w:r>
              <w:rPr>
                <w:rFonts w:hint="default" w:ascii="Times New Roman" w:hAnsi="Times New Roman" w:cs="Times New Roman" w:eastAsiaTheme="minorEastAsia"/>
                <w:color w:val="auto"/>
                <w:highlight w:val="none"/>
                <w:vertAlign w:val="baseline"/>
                <w:lang w:val="en-US" w:eastAsia="zh-CN"/>
              </w:rPr>
              <w:t>5.98×10</w:t>
            </w:r>
            <w:r>
              <w:rPr>
                <w:rFonts w:hint="default" w:ascii="Times New Roman" w:hAnsi="Times New Roman" w:cs="Times New Roman" w:eastAsiaTheme="minorEastAsia"/>
                <w:color w:val="auto"/>
                <w:highlight w:val="none"/>
                <w:vertAlign w:val="superscript"/>
                <w:lang w:val="en-US" w:eastAsia="zh-CN"/>
              </w:rPr>
              <w:t>-2</w:t>
            </w:r>
          </w:p>
        </w:tc>
        <w:tc>
          <w:tcPr>
            <w:tcW w:w="1784"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22"/>
                <w:highlight w:val="none"/>
                <w:vertAlign w:val="baseline"/>
                <w:lang w:val="en-US" w:eastAsia="zh-CN" w:bidi="ar-SA"/>
              </w:rPr>
            </w:pPr>
            <w:r>
              <w:rPr>
                <w:rFonts w:hint="default" w:ascii="Times New Roman" w:hAnsi="Times New Roman" w:cs="Times New Roman" w:eastAsiaTheme="minorEastAsia"/>
                <w:color w:val="auto"/>
                <w:highlight w:val="none"/>
                <w:vertAlign w:val="baseline"/>
                <w:lang w:val="en-US" w:eastAsia="zh-CN"/>
              </w:rPr>
              <w:t>9.55×10</w:t>
            </w:r>
            <w:r>
              <w:rPr>
                <w:rFonts w:hint="default" w:ascii="Times New Roman" w:hAnsi="Times New Roman" w:cs="Times New Roman" w:eastAsiaTheme="minorEastAsia"/>
                <w:color w:val="auto"/>
                <w:highlight w:val="none"/>
                <w:vertAlign w:val="superscript"/>
                <w:lang w:val="en-US" w:eastAsia="zh-CN"/>
              </w:rPr>
              <w:t>-3</w:t>
            </w:r>
          </w:p>
        </w:tc>
        <w:tc>
          <w:tcPr>
            <w:tcW w:w="1620" w:type="dxa"/>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2"/>
                <w:highlight w:val="none"/>
                <w:vertAlign w:val="baseline"/>
                <w:lang w:val="en-US" w:eastAsia="zh-CN" w:bidi="ar-SA"/>
              </w:rPr>
            </w:pPr>
            <w:r>
              <w:rPr>
                <w:rFonts w:hint="default" w:ascii="Times New Roman" w:hAnsi="Times New Roman" w:cs="Times New Roman"/>
                <w:color w:val="auto"/>
                <w:highlight w:val="none"/>
                <w:vertAlign w:val="baseline"/>
                <w:lang w:val="en-US" w:eastAsia="zh-CN"/>
              </w:rPr>
              <w:t>84.03%</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综上，说明</w:t>
      </w:r>
      <w:r>
        <w:rPr>
          <w:rFonts w:hint="eastAsia" w:eastAsia="宋体" w:cs="Times New Roman"/>
          <w:color w:val="auto"/>
          <w:kern w:val="2"/>
          <w:sz w:val="24"/>
          <w:szCs w:val="24"/>
          <w:lang w:val="en-US" w:eastAsia="zh-CN" w:bidi="ar-SA"/>
        </w:rPr>
        <w:t>本</w:t>
      </w:r>
      <w:r>
        <w:rPr>
          <w:rFonts w:hint="eastAsia" w:ascii="Times New Roman" w:hAnsi="Times New Roman" w:eastAsia="宋体" w:cs="Times New Roman"/>
          <w:color w:val="auto"/>
          <w:kern w:val="2"/>
          <w:sz w:val="24"/>
          <w:szCs w:val="24"/>
          <w:lang w:val="en-US" w:eastAsia="zh-CN" w:bidi="ar-SA"/>
        </w:rPr>
        <w:t>项目采取的废气处理设施合理。</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（3）厂界噪声治理设施</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kern w:val="2"/>
          <w:sz w:val="24"/>
          <w:szCs w:val="24"/>
          <w:lang w:val="en-US" w:eastAsia="zh-CN" w:bidi="ar-SA"/>
        </w:rPr>
        <w:t>监测结果显示：本项目</w:t>
      </w:r>
      <w:r>
        <w:rPr>
          <w:rFonts w:hint="default" w:ascii="Times New Roman" w:hAnsi="Times New Roman" w:eastAsia="宋体" w:cs="Times New Roman"/>
          <w:color w:val="0000FF"/>
          <w:kern w:val="2"/>
          <w:sz w:val="24"/>
          <w:szCs w:val="24"/>
          <w:lang w:val="en-US" w:eastAsia="zh-CN" w:bidi="ar-SA"/>
        </w:rPr>
        <w:t>厂界四周昼夜间噪声</w:t>
      </w:r>
      <w:r>
        <w:commentReference w:id="10"/>
      </w:r>
      <w:r>
        <w:rPr>
          <w:rFonts w:hint="default" w:ascii="Times New Roman" w:hAnsi="Times New Roman" w:eastAsia="宋体" w:cs="Times New Roman"/>
          <w:color w:val="auto"/>
          <w:kern w:val="2"/>
          <w:sz w:val="24"/>
          <w:szCs w:val="24"/>
          <w:lang w:val="en-US" w:eastAsia="zh-CN" w:bidi="ar-SA"/>
        </w:rPr>
        <w:t>排放满足《工业企业厂界环境噪声排放标准》（GB12348-2008）中的3类标准</w:t>
      </w:r>
      <w:r>
        <w:rPr>
          <w:rFonts w:hint="default" w:ascii="Times New Roman" w:hAnsi="Times New Roman" w:eastAsia="宋体" w:cs="Times New Roman"/>
          <w:color w:val="auto"/>
          <w:sz w:val="24"/>
          <w:szCs w:val="24"/>
        </w:rPr>
        <w:t>，说明项目采取的噪声防治设施合理。</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（4）固体废物治理设施</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项目固废均委托外单位进行处置，自身不配备固体废物治理设施。</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（二）污染物排放情况</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kern w:val="0"/>
          <w:sz w:val="24"/>
          <w:szCs w:val="24"/>
        </w:rPr>
        <w:t>废水污染物排放评价</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验收监测期间，由检测结果可知，本项目生活污水pH值、化学需氧量排放浓度满足《污水综合排放标准》（GB8978-1996）中的三级标准，氨氮排放浓度满足《工业企业废水氮、磷污染物间接排放限值》（DB33/887-2013），即pH限值为6-9，化学需氧量浓度限值≤500mg/L，氨氮浓度限值≤35mg/L</w:t>
      </w:r>
      <w:r>
        <w:rPr>
          <w:rFonts w:hint="default" w:ascii="Times New Roman" w:hAnsi="Times New Roman" w:eastAsia="宋体" w:cs="Times New Roman"/>
          <w:color w:val="auto"/>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kern w:val="0"/>
          <w:sz w:val="24"/>
          <w:szCs w:val="24"/>
        </w:rPr>
        <w:t>废气污染物排放评价</w:t>
      </w:r>
    </w:p>
    <w:p>
      <w:pPr>
        <w:pStyle w:val="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验收监测期间，由检测结果可知，EPS包装材料、EPP包装材料废气排气筒中非甲烷总烃、甲苯有组织排放浓度满足《合成树脂工业污染物排放标准》（GB31572-2015）及修改单表5中的排放限值要求；苯、二甲苯有组织排放浓度满足《大气污染物综合排放标准》（GB16297-1996）表2中的“新污染源、二级标准”；臭气浓度有组织排放满足《湖州市木业、漆包线及塑料行业废气整治规范》（湖环发[2018]31号）的相关标准要求。</w:t>
      </w:r>
    </w:p>
    <w:p>
      <w:pPr>
        <w:pStyle w:val="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验收监测期间，厂界无组织非甲烷总烃、甲苯无组织排放浓度满足《合成树脂工业污染物排放标准》（GB31572-2015）及修改单表9中的企业边界大气污染物浓度限值；苯、二甲苯无组织排放浓度满足《大气污染物综合排放标准》（GB16297-1996）表2中的</w:t>
      </w:r>
      <w:bookmarkStart w:id="4" w:name="_GoBack"/>
      <w:bookmarkEnd w:id="4"/>
      <w:r>
        <w:rPr>
          <w:rFonts w:hint="default" w:ascii="Times New Roman" w:hAnsi="Times New Roman" w:eastAsia="宋体" w:cs="Times New Roman"/>
          <w:color w:val="auto"/>
          <w:sz w:val="24"/>
          <w:szCs w:val="24"/>
          <w:lang w:val="en-US" w:eastAsia="zh-CN"/>
        </w:rPr>
        <w:t>无组织排放监控浓度限值；臭气浓度无组织排放满足《恶臭污染物排放标准》（GB14554-93）表1二级新扩改建标准；厂区内非甲烷总烃无组织排放浓度满足《挥发性有机物无组织排放控制标准》（GB37822-2019）表A.1中的特别排放限值。</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rPr>
        <w:t>3）</w:t>
      </w:r>
      <w:r>
        <w:rPr>
          <w:rFonts w:hint="default" w:ascii="Times New Roman" w:hAnsi="Times New Roman" w:eastAsia="宋体" w:cs="Times New Roman"/>
          <w:color w:val="auto"/>
          <w:sz w:val="24"/>
          <w:szCs w:val="24"/>
        </w:rPr>
        <w:t>噪声污染物排放评价</w:t>
      </w:r>
    </w:p>
    <w:p>
      <w:pPr>
        <w:pStyle w:val="10"/>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项目验收监测期间，由检测结果可知</w:t>
      </w:r>
      <w:commentRangeStart w:id="11"/>
      <w:commentRangeStart w:id="12"/>
      <w:r>
        <w:rPr>
          <w:rFonts w:hint="default"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0000FF"/>
          <w:sz w:val="24"/>
          <w:szCs w:val="24"/>
          <w:lang w:val="en-US" w:eastAsia="zh-CN"/>
        </w:rPr>
        <w:t>厂界四周昼夜间</w:t>
      </w:r>
      <w:commentRangeEnd w:id="11"/>
      <w:r>
        <w:rPr>
          <w:color w:val="0000FF"/>
        </w:rPr>
        <w:commentReference w:id="11"/>
      </w:r>
      <w:commentRangeEnd w:id="12"/>
      <w:r>
        <w:commentReference w:id="12"/>
      </w:r>
      <w:r>
        <w:rPr>
          <w:rFonts w:hint="default" w:ascii="Times New Roman" w:hAnsi="Times New Roman" w:eastAsia="宋体" w:cs="Times New Roman"/>
          <w:color w:val="0000FF"/>
          <w:sz w:val="24"/>
          <w:szCs w:val="24"/>
          <w:lang w:val="en-US" w:eastAsia="zh-CN"/>
        </w:rPr>
        <w:t>噪声</w:t>
      </w:r>
      <w:r>
        <w:rPr>
          <w:rFonts w:hint="default" w:ascii="Times New Roman" w:hAnsi="Times New Roman" w:eastAsia="宋体" w:cs="Times New Roman"/>
          <w:color w:val="auto"/>
          <w:sz w:val="24"/>
          <w:szCs w:val="24"/>
          <w:lang w:val="en-US" w:eastAsia="zh-CN"/>
        </w:rPr>
        <w:t>排放满足《工业企业厂界环境噪声排放标准》（GB12348-2008）中的3类标准</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（4）污染物排放总量</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项目涉及总量控制污染物为</w:t>
      </w:r>
      <w:r>
        <w:rPr>
          <w:rFonts w:hint="default" w:ascii="Times New Roman" w:hAnsi="Times New Roman" w:eastAsia="宋体" w:cs="Times New Roman"/>
          <w:color w:val="auto"/>
          <w:sz w:val="24"/>
          <w:szCs w:val="24"/>
          <w:lang w:val="en-US" w:eastAsia="zh-CN"/>
        </w:rPr>
        <w:t>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r>
        <w:rPr>
          <w:rFonts w:hint="eastAsia" w:cs="Times New Roman"/>
          <w:color w:val="auto"/>
          <w:sz w:val="24"/>
          <w:szCs w:val="24"/>
          <w:lang w:val="en-US" w:eastAsia="zh-CN"/>
        </w:rPr>
        <w:t>和</w:t>
      </w:r>
      <w:r>
        <w:rPr>
          <w:rFonts w:hint="default" w:ascii="Times New Roman" w:hAnsi="Times New Roman" w:eastAsia="宋体" w:cs="Times New Roman"/>
          <w:color w:val="auto"/>
          <w:sz w:val="24"/>
          <w:szCs w:val="24"/>
          <w:lang w:val="en-US" w:eastAsia="zh-CN"/>
        </w:rPr>
        <w:t>挥发性有机物（VOCs）</w:t>
      </w:r>
      <w:r>
        <w:rPr>
          <w:rFonts w:hint="eastAsia" w:cs="Times New Roman"/>
          <w:color w:val="auto"/>
          <w:sz w:val="24"/>
          <w:szCs w:val="24"/>
          <w:lang w:val="en-US" w:eastAsia="zh-CN"/>
        </w:rPr>
        <w:t>三</w:t>
      </w:r>
      <w:r>
        <w:rPr>
          <w:rFonts w:hint="default" w:ascii="Times New Roman" w:hAnsi="Times New Roman" w:eastAsia="宋体" w:cs="Times New Roman"/>
          <w:color w:val="auto"/>
          <w:sz w:val="24"/>
          <w:szCs w:val="24"/>
        </w:rPr>
        <w:t>项。</w:t>
      </w:r>
    </w:p>
    <w:p>
      <w:pPr>
        <w:pStyle w:val="10"/>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1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废水</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firstLine="480" w:firstLineChars="200"/>
        <w:jc w:val="both"/>
        <w:textAlignment w:val="auto"/>
        <w:rPr>
          <w:rFonts w:hint="default" w:ascii="Calibri" w:hAnsi="Calibri" w:eastAsia="宋体" w:cs="Times New Roman"/>
          <w:color w:val="auto"/>
          <w:kern w:val="2"/>
          <w:sz w:val="21"/>
          <w:szCs w:val="21"/>
        </w:rPr>
      </w:pPr>
      <w:r>
        <w:rPr>
          <w:rFonts w:hint="default" w:ascii="Times New Roman" w:hAnsi="Times New Roman" w:eastAsia="宋体" w:cs="Times New Roman"/>
          <w:color w:val="auto"/>
          <w:sz w:val="24"/>
          <w:szCs w:val="24"/>
          <w:lang w:val="en-US" w:eastAsia="zh-CN"/>
        </w:rPr>
        <w:t>根据原环评文件，废水中纳入总量控制的指标为CODCr、NH3-N。生活污水经化粪池预处理后，纳管至浙江德清金开水务有限公司集中处理，其排放量约为384t/a。浙江德清金开水务有限公司尾水排放执行《城镇污水处理厂污染物排放标准》（GB18918-2002）中的一级A标准，其中化学需氧量、氨氮、总氮和总磷执行《城镇污水处理厂主要水污染物排放标准》（DB33/2169-2018）中表1标准，则排入自然水体的主要污染物CODCr：0.015t/a、NH3-N：0.001t/a</w:t>
      </w:r>
      <w:r>
        <w:rPr>
          <w:rFonts w:hint="eastAsia" w:ascii="宋体" w:hAnsi="宋体" w:eastAsia="宋体" w:cs="宋体"/>
          <w:color w:val="auto"/>
          <w:kern w:val="2"/>
          <w:sz w:val="24"/>
          <w:szCs w:val="24"/>
          <w:lang w:val="en-US" w:eastAsia="zh-CN" w:bidi="ar"/>
        </w:rPr>
        <w:t>。</w:t>
      </w:r>
    </w:p>
    <w:p>
      <w:pPr>
        <w:pStyle w:val="10"/>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②废气</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根据原环评文件，废气中纳入总量控制的指标为挥发性有机物（VOCs）。</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企业预发泡、加热成型工序满负荷年工作时间为2700h。预发泡机、全自动间歇式预发泡机、成型机设备密闭，产生的废气通过设备顶部排气口经密闭集气管道收集，收集后统一通过一套二级活性炭吸附装置，尾气通过一根15m高的排气筒DA001排放。</w:t>
      </w:r>
      <w:r>
        <w:rPr>
          <w:rFonts w:hint="default" w:ascii="Times New Roman" w:hAnsi="Times New Roman" w:eastAsia="宋体" w:cs="Times New Roman"/>
          <w:b/>
          <w:bCs/>
          <w:color w:val="auto"/>
          <w:kern w:val="2"/>
          <w:sz w:val="24"/>
          <w:szCs w:val="24"/>
          <w:lang w:val="en-US" w:eastAsia="zh-CN" w:bidi="ar"/>
        </w:rPr>
        <w:t>非甲烷总烃排放量</w:t>
      </w:r>
      <w:r>
        <w:rPr>
          <w:rFonts w:hint="default" w:ascii="Times New Roman" w:hAnsi="Times New Roman" w:eastAsia="宋体" w:cs="Times New Roman"/>
          <w:color w:val="auto"/>
          <w:kern w:val="2"/>
          <w:sz w:val="24"/>
          <w:szCs w:val="24"/>
          <w:lang w:val="en-US" w:eastAsia="zh-CN" w:bidi="ar"/>
        </w:rPr>
        <w:t>=排放速率×年工作时间=1/2×（1.68×10</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+9.55×10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）×2700×10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0.036t</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苯排放量</w:t>
      </w:r>
      <w:r>
        <w:rPr>
          <w:rFonts w:hint="default" w:ascii="Times New Roman" w:hAnsi="Times New Roman" w:eastAsia="宋体" w:cs="Times New Roman"/>
          <w:color w:val="auto"/>
          <w:kern w:val="2"/>
          <w:sz w:val="24"/>
          <w:szCs w:val="24"/>
          <w:lang w:val="en-US" w:eastAsia="zh-CN" w:bidi="ar"/>
        </w:rPr>
        <w:t>=排放速率×年工作时间=</w:t>
      </w:r>
      <w:bookmarkStart w:id="3" w:name="OLE_LINK2"/>
      <w:r>
        <w:rPr>
          <w:rFonts w:hint="default" w:ascii="Times New Roman" w:hAnsi="Times New Roman" w:eastAsia="宋体" w:cs="Times New Roman"/>
          <w:color w:val="auto"/>
          <w:kern w:val="2"/>
          <w:sz w:val="24"/>
          <w:szCs w:val="24"/>
          <w:lang w:val="en-US" w:eastAsia="zh-CN" w:bidi="ar"/>
        </w:rPr>
        <w:t>1/2×1/2×（1.11×10</w:t>
      </w:r>
      <w:r>
        <w:rPr>
          <w:rFonts w:hint="default" w:ascii="Times New Roman" w:hAnsi="Times New Roman" w:eastAsia="宋体" w:cs="Times New Roman"/>
          <w:color w:val="auto"/>
          <w:kern w:val="2"/>
          <w:sz w:val="24"/>
          <w:szCs w:val="24"/>
          <w:vertAlign w:val="superscript"/>
          <w:lang w:val="en-US" w:eastAsia="zh-CN" w:bidi="ar"/>
        </w:rPr>
        <w:t>-4</w:t>
      </w:r>
      <w:r>
        <w:rPr>
          <w:rFonts w:hint="default" w:ascii="Times New Roman" w:hAnsi="Times New Roman" w:eastAsia="宋体" w:cs="Times New Roman"/>
          <w:color w:val="auto"/>
          <w:kern w:val="2"/>
          <w:sz w:val="24"/>
          <w:szCs w:val="24"/>
          <w:lang w:val="en-US" w:eastAsia="zh-CN" w:bidi="ar"/>
        </w:rPr>
        <w:t>+2.90×10</w:t>
      </w:r>
      <w:r>
        <w:rPr>
          <w:rFonts w:hint="default" w:ascii="Times New Roman" w:hAnsi="Times New Roman" w:eastAsia="宋体" w:cs="Times New Roman"/>
          <w:color w:val="auto"/>
          <w:kern w:val="2"/>
          <w:sz w:val="24"/>
          <w:szCs w:val="24"/>
          <w:vertAlign w:val="superscript"/>
          <w:lang w:val="en-US" w:eastAsia="zh-CN" w:bidi="ar"/>
        </w:rPr>
        <w:t>-6</w:t>
      </w:r>
      <w:r>
        <w:rPr>
          <w:rFonts w:hint="default" w:ascii="Times New Roman" w:hAnsi="Times New Roman" w:eastAsia="宋体" w:cs="Times New Roman"/>
          <w:color w:val="auto"/>
          <w:kern w:val="2"/>
          <w:sz w:val="24"/>
          <w:szCs w:val="24"/>
          <w:lang w:val="en-US" w:eastAsia="zh-CN" w:bidi="ar"/>
        </w:rPr>
        <w:t>）×2700×10</w:t>
      </w:r>
      <w:r>
        <w:rPr>
          <w:rFonts w:hint="default" w:ascii="Times New Roman" w:hAnsi="Times New Roman" w:eastAsia="宋体" w:cs="Times New Roman"/>
          <w:color w:val="auto"/>
          <w:kern w:val="2"/>
          <w:sz w:val="24"/>
          <w:szCs w:val="24"/>
          <w:vertAlign w:val="superscript"/>
          <w:lang w:val="en-US" w:eastAsia="zh-CN" w:bidi="ar"/>
        </w:rPr>
        <w:t>-3</w:t>
      </w:r>
      <w:bookmarkEnd w:id="3"/>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0.00008t</w:t>
      </w:r>
      <w:r>
        <w:rPr>
          <w:rFonts w:hint="default" w:ascii="Times New Roman" w:hAnsi="Times New Roman" w:eastAsia="宋体" w:cs="Times New Roman"/>
          <w:color w:val="auto"/>
          <w:kern w:val="2"/>
          <w:sz w:val="24"/>
          <w:szCs w:val="24"/>
          <w:lang w:val="en-US" w:eastAsia="zh-CN" w:bidi="ar"/>
        </w:rPr>
        <w:t>；甲苯排放量=排放速率×年工作时间=1/2×1/2（5.70×10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+2.90×10</w:t>
      </w:r>
      <w:r>
        <w:rPr>
          <w:rFonts w:hint="default" w:ascii="Times New Roman" w:hAnsi="Times New Roman" w:eastAsia="宋体" w:cs="Times New Roman"/>
          <w:color w:val="auto"/>
          <w:kern w:val="2"/>
          <w:sz w:val="24"/>
          <w:szCs w:val="24"/>
          <w:vertAlign w:val="superscript"/>
          <w:lang w:val="en-US" w:eastAsia="zh-CN" w:bidi="ar"/>
        </w:rPr>
        <w:t>-6</w:t>
      </w:r>
      <w:r>
        <w:rPr>
          <w:rFonts w:hint="default" w:ascii="Times New Roman" w:hAnsi="Times New Roman" w:eastAsia="宋体" w:cs="Times New Roman"/>
          <w:color w:val="auto"/>
          <w:kern w:val="2"/>
          <w:sz w:val="24"/>
          <w:szCs w:val="24"/>
          <w:lang w:val="en-US" w:eastAsia="zh-CN" w:bidi="ar"/>
        </w:rPr>
        <w:t>）×2700×10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0.004t</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二甲苯排放量</w:t>
      </w:r>
      <w:r>
        <w:rPr>
          <w:rFonts w:hint="default" w:ascii="Times New Roman" w:hAnsi="Times New Roman" w:eastAsia="宋体" w:cs="Times New Roman"/>
          <w:color w:val="auto"/>
          <w:kern w:val="2"/>
          <w:sz w:val="24"/>
          <w:szCs w:val="24"/>
          <w:lang w:val="en-US" w:eastAsia="zh-CN" w:bidi="ar"/>
        </w:rPr>
        <w:t>=排放速率×年工作时间=1/2×1/2（2.89×10</w:t>
      </w:r>
      <w:r>
        <w:rPr>
          <w:rFonts w:hint="default" w:ascii="Times New Roman" w:hAnsi="Times New Roman" w:eastAsia="宋体" w:cs="Times New Roman"/>
          <w:color w:val="auto"/>
          <w:kern w:val="2"/>
          <w:sz w:val="24"/>
          <w:szCs w:val="24"/>
          <w:vertAlign w:val="superscript"/>
          <w:lang w:val="en-US" w:eastAsia="zh-CN" w:bidi="ar"/>
        </w:rPr>
        <w:t>-6</w:t>
      </w:r>
      <w:r>
        <w:rPr>
          <w:rFonts w:hint="default" w:ascii="Times New Roman" w:hAnsi="Times New Roman" w:eastAsia="宋体" w:cs="Times New Roman"/>
          <w:color w:val="auto"/>
          <w:kern w:val="2"/>
          <w:sz w:val="24"/>
          <w:szCs w:val="24"/>
          <w:lang w:val="en-US" w:eastAsia="zh-CN" w:bidi="ar"/>
        </w:rPr>
        <w:t>+2.90×10</w:t>
      </w:r>
      <w:r>
        <w:rPr>
          <w:rFonts w:hint="default" w:ascii="Times New Roman" w:hAnsi="Times New Roman" w:eastAsia="宋体" w:cs="Times New Roman"/>
          <w:color w:val="auto"/>
          <w:kern w:val="2"/>
          <w:sz w:val="24"/>
          <w:szCs w:val="24"/>
          <w:vertAlign w:val="superscript"/>
          <w:lang w:val="en-US" w:eastAsia="zh-CN" w:bidi="ar"/>
        </w:rPr>
        <w:t>-6</w:t>
      </w:r>
      <w:r>
        <w:rPr>
          <w:rFonts w:hint="default" w:ascii="Times New Roman" w:hAnsi="Times New Roman" w:eastAsia="宋体" w:cs="Times New Roman"/>
          <w:color w:val="auto"/>
          <w:kern w:val="2"/>
          <w:sz w:val="24"/>
          <w:szCs w:val="24"/>
          <w:lang w:val="en-US" w:eastAsia="zh-CN" w:bidi="ar"/>
        </w:rPr>
        <w:t>）×2700×10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0.000004t</w:t>
      </w:r>
      <w:r>
        <w:rPr>
          <w:rFonts w:hint="eastAsia" w:ascii="Times New Roman" w:hAnsi="Times New Roman" w:cs="Times New Roman"/>
          <w:b/>
          <w:bCs/>
          <w:color w:val="auto"/>
          <w:kern w:val="2"/>
          <w:sz w:val="24"/>
          <w:szCs w:val="24"/>
          <w:lang w:val="en-US" w:eastAsia="zh-CN" w:bidi="ar"/>
        </w:rPr>
        <w:t>。</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 w:val="24"/>
          <w:szCs w:val="24"/>
          <w:lang w:val="en-US" w:eastAsia="zh-CN"/>
        </w:rPr>
        <w:t>根据企业的生产情况和验收监测结果，核算实际主要污染物排放总量控制指标COD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-N和挥发性有机物（VOCs）排放总量，具体见下表。</w:t>
      </w:r>
    </w:p>
    <w:p>
      <w:pPr>
        <w:pStyle w:val="10"/>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rPr>
        <w:t xml:space="preserve">  本项目实际污染物排放总量控制指标核算表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990"/>
        <w:gridCol w:w="2663"/>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总量控制指标名称</w:t>
            </w:r>
          </w:p>
        </w:tc>
        <w:tc>
          <w:tcPr>
            <w:tcW w:w="1399"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审批排放量</w:t>
            </w:r>
            <w:r>
              <w:rPr>
                <w:rFonts w:hint="default" w:ascii="Times New Roman" w:hAnsi="Times New Roman" w:eastAsia="宋体" w:cs="Times New Roman"/>
                <w:b/>
                <w:bCs w:val="0"/>
                <w:color w:val="auto"/>
                <w:sz w:val="21"/>
                <w:szCs w:val="21"/>
                <w:highlight w:val="none"/>
              </w:rPr>
              <w:t>（t/a）</w:t>
            </w:r>
          </w:p>
        </w:tc>
        <w:tc>
          <w:tcPr>
            <w:tcW w:w="1400"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实际排放量（t/a）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pct"/>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废水</w:t>
            </w:r>
          </w:p>
        </w:tc>
        <w:tc>
          <w:tcPr>
            <w:tcW w:w="1571"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eastAsia="zh-CN"/>
              </w:rPr>
              <w:t>水量</w:t>
            </w:r>
          </w:p>
        </w:tc>
        <w:tc>
          <w:tcPr>
            <w:tcW w:w="2631"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SA"/>
              </w:rPr>
              <w:t>384</w:t>
            </w:r>
          </w:p>
        </w:tc>
        <w:tc>
          <w:tcPr>
            <w:tcW w:w="2634"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SA"/>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571"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COD</w:t>
            </w:r>
            <w:r>
              <w:rPr>
                <w:rFonts w:hint="default" w:ascii="Times New Roman" w:hAnsi="Times New Roman" w:eastAsia="宋体" w:cs="Times New Roman"/>
                <w:b w:val="0"/>
                <w:bCs w:val="0"/>
                <w:color w:val="auto"/>
                <w:sz w:val="21"/>
                <w:szCs w:val="21"/>
                <w:highlight w:val="none"/>
                <w:vertAlign w:val="subscript"/>
              </w:rPr>
              <w:t>Cr</w:t>
            </w:r>
          </w:p>
        </w:tc>
        <w:tc>
          <w:tcPr>
            <w:tcW w:w="2631"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SA"/>
              </w:rPr>
              <w:t>0.015</w:t>
            </w:r>
          </w:p>
        </w:tc>
        <w:tc>
          <w:tcPr>
            <w:tcW w:w="2634"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SA"/>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628"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571"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NH</w:t>
            </w:r>
            <w:r>
              <w:rPr>
                <w:rFonts w:hint="default" w:ascii="Times New Roman" w:hAnsi="Times New Roman" w:eastAsia="宋体" w:cs="Times New Roman"/>
                <w:b w:val="0"/>
                <w:bCs w:val="0"/>
                <w:color w:val="auto"/>
                <w:sz w:val="21"/>
                <w:szCs w:val="21"/>
                <w:highlight w:val="none"/>
                <w:vertAlign w:val="subscript"/>
              </w:rPr>
              <w:t>3</w:t>
            </w:r>
            <w:r>
              <w:rPr>
                <w:rFonts w:hint="default" w:ascii="Times New Roman" w:hAnsi="Times New Roman" w:eastAsia="宋体" w:cs="Times New Roman"/>
                <w:b w:val="0"/>
                <w:bCs w:val="0"/>
                <w:color w:val="auto"/>
                <w:sz w:val="21"/>
                <w:szCs w:val="21"/>
                <w:highlight w:val="none"/>
              </w:rPr>
              <w:t>-N</w:t>
            </w:r>
          </w:p>
        </w:tc>
        <w:tc>
          <w:tcPr>
            <w:tcW w:w="2631"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SA"/>
              </w:rPr>
              <w:t>0.001</w:t>
            </w:r>
          </w:p>
        </w:tc>
        <w:tc>
          <w:tcPr>
            <w:tcW w:w="2634"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废气</w:t>
            </w:r>
          </w:p>
        </w:tc>
        <w:tc>
          <w:tcPr>
            <w:tcW w:w="1571"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挥发性有机物（VOCs）</w:t>
            </w:r>
          </w:p>
        </w:tc>
        <w:tc>
          <w:tcPr>
            <w:tcW w:w="2631" w:type="dxa"/>
            <w:noWrap w:val="0"/>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2"/>
                <w:highlight w:val="none"/>
                <w:lang w:val="en-US" w:eastAsia="zh-CN" w:bidi="ar-SA"/>
              </w:rPr>
              <w:t>0.040</w:t>
            </w:r>
            <w:r>
              <w:rPr>
                <w:rFonts w:hint="eastAsia" w:ascii="Times New Roman" w:hAnsi="Times New Roman" w:cs="Times New Roman"/>
                <w:color w:val="auto"/>
                <w:kern w:val="2"/>
                <w:sz w:val="21"/>
                <w:szCs w:val="22"/>
                <w:highlight w:val="none"/>
                <w:lang w:val="en-US" w:eastAsia="zh-CN" w:bidi="ar-SA"/>
              </w:rPr>
              <w:t>*</w:t>
            </w:r>
          </w:p>
        </w:tc>
        <w:tc>
          <w:tcPr>
            <w:tcW w:w="2634" w:type="dxa"/>
            <w:noWrap w:val="0"/>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注：①*此表中挥发性有机物（VOCs）审批排放量为有组织排放量0.040t/a；</w:t>
            </w:r>
          </w:p>
          <w:p>
            <w:pPr>
              <w:keepNext w:val="0"/>
              <w:keepLines w:val="0"/>
              <w:widowControl/>
              <w:suppressLineNumbers w:val="0"/>
              <w:spacing w:before="0" w:beforeAutospacing="0" w:after="0" w:afterAutospacing="0"/>
              <w:ind w:left="0" w:right="0"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
              </w:rPr>
              <w:t>②验收监测期间，生产负荷为100%。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五、验收结论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依据《建设项目竣工环境保护验收暂行办法》、《验收监测报告表》等资料及环境保护设施现场检查情况，</w:t>
      </w:r>
      <w:r>
        <w:rPr>
          <w:rFonts w:hint="default" w:ascii="Times New Roman" w:hAnsi="Times New Roman" w:eastAsia="宋体" w:cs="Times New Roman"/>
          <w:color w:val="auto"/>
          <w:kern w:val="0"/>
          <w:sz w:val="24"/>
          <w:szCs w:val="24"/>
          <w:lang w:val="en-US" w:eastAsia="zh-CN"/>
        </w:rPr>
        <w:t>德清创达塑料制品有限公司2023年德清创达塑料年产200吨EPP、EPS包装材料项目</w:t>
      </w:r>
      <w:r>
        <w:rPr>
          <w:rFonts w:hint="default" w:ascii="Times New Roman" w:hAnsi="Times New Roman" w:eastAsia="宋体" w:cs="Times New Roman"/>
          <w:color w:val="auto"/>
          <w:kern w:val="0"/>
          <w:sz w:val="24"/>
          <w:szCs w:val="24"/>
        </w:rPr>
        <w:t>环保手续齐全，污染防治措施基本按照环评及批复要求落实；经验收监测，废气、废水、噪声能做到达标排放，固体废物能得到妥善处置，因此该项目符合申请建设项目竣工环境保护自主验收条件项目，不存在《建设项目竣工环境保护验收暂行办法》第八条中所列验收不合格的情形，符合符合竣工环境保护验收条件，验收结论为合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六、后续要求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（一）完善生产设施和环保设施标识标牌，完善企业环保管理制度，完善各类台账建设。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（二）进一步加强对有机废气处理设施的日常管理和维护，确保长期稳定达标排放。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七、验收人员信息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验收工作组成员名单及信息附后。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val="en-US" w:eastAsia="zh-CN"/>
        </w:rPr>
        <w:t>德清创达塑料制品有限公司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color w:val="0000FF"/>
          <w:kern w:val="0"/>
          <w:sz w:val="24"/>
          <w:szCs w:val="24"/>
          <w:highlight w:val="none"/>
        </w:rPr>
        <w:sectPr>
          <w:pgSz w:w="11906" w:h="16838"/>
          <w:pgMar w:top="1304" w:right="1304" w:bottom="1304" w:left="1304" w:header="851" w:footer="992" w:gutter="0"/>
          <w:cols w:space="720" w:num="1"/>
          <w:docGrid w:type="lines" w:linePitch="312" w:charSpace="0"/>
        </w:sectPr>
      </w:pPr>
      <w:r>
        <w:rPr>
          <w:rFonts w:hint="default" w:ascii="Times New Roman" w:hAnsi="Times New Roman" w:eastAsia="宋体" w:cs="Times New Roman"/>
          <w:color w:val="0000FF"/>
          <w:kern w:val="0"/>
          <w:sz w:val="24"/>
          <w:szCs w:val="24"/>
          <w:highlight w:val="none"/>
        </w:rPr>
        <w:t>202</w:t>
      </w:r>
      <w:r>
        <w:rPr>
          <w:rFonts w:hint="eastAsia" w:cs="Times New Roman"/>
          <w:color w:val="0000FF"/>
          <w:kern w:val="0"/>
          <w:sz w:val="24"/>
          <w:szCs w:val="24"/>
          <w:highlight w:val="none"/>
          <w:lang w:val="en-US" w:eastAsia="zh-CN"/>
        </w:rPr>
        <w:t>5</w:t>
      </w:r>
      <w:r>
        <w:rPr>
          <w:rFonts w:hint="default" w:ascii="Times New Roman" w:hAnsi="Times New Roman" w:eastAsia="宋体" w:cs="Times New Roman"/>
          <w:color w:val="0000FF"/>
          <w:kern w:val="0"/>
          <w:sz w:val="24"/>
          <w:szCs w:val="24"/>
          <w:highlight w:val="none"/>
        </w:rPr>
        <w:t>年</w:t>
      </w:r>
      <w:r>
        <w:rPr>
          <w:rFonts w:hint="eastAsia" w:cs="Times New Roman"/>
          <w:color w:val="0000FF"/>
          <w:kern w:val="0"/>
          <w:sz w:val="24"/>
          <w:szCs w:val="24"/>
          <w:highlight w:val="none"/>
          <w:lang w:val="en-US" w:eastAsia="zh-CN"/>
        </w:rPr>
        <w:t>2</w:t>
      </w:r>
      <w:r>
        <w:rPr>
          <w:rFonts w:hint="default" w:ascii="Times New Roman" w:hAnsi="Times New Roman" w:eastAsia="宋体" w:cs="Times New Roman"/>
          <w:color w:val="0000FF"/>
          <w:kern w:val="0"/>
          <w:sz w:val="24"/>
          <w:szCs w:val="24"/>
          <w:highlight w:val="none"/>
        </w:rPr>
        <w:t>月</w:t>
      </w:r>
      <w:r>
        <w:rPr>
          <w:rFonts w:hint="eastAsia" w:cs="Times New Roman"/>
          <w:color w:val="0000FF"/>
          <w:kern w:val="0"/>
          <w:sz w:val="24"/>
          <w:szCs w:val="24"/>
          <w:highlight w:val="none"/>
          <w:lang w:val="en-US" w:eastAsia="zh-CN"/>
        </w:rPr>
        <w:t>1</w:t>
      </w:r>
      <w:r>
        <w:rPr>
          <w:rFonts w:hint="default" w:ascii="Times New Roman" w:hAnsi="Times New Roman" w:eastAsia="宋体" w:cs="Times New Roman"/>
          <w:color w:val="0000FF"/>
          <w:kern w:val="0"/>
          <w:sz w:val="24"/>
          <w:szCs w:val="24"/>
          <w:highlight w:val="none"/>
          <w:lang w:val="en-US" w:eastAsia="zh-CN"/>
        </w:rPr>
        <w:t>9</w:t>
      </w:r>
      <w:r>
        <w:rPr>
          <w:rFonts w:hint="default" w:ascii="Times New Roman" w:hAnsi="Times New Roman" w:eastAsia="宋体" w:cs="Times New Roman"/>
          <w:color w:val="0000FF"/>
          <w:kern w:val="0"/>
          <w:sz w:val="24"/>
          <w:szCs w:val="24"/>
          <w:highlight w:val="none"/>
        </w:rPr>
        <w:t>日</w:t>
      </w:r>
    </w:p>
    <w:p>
      <w:pPr>
        <w:pStyle w:val="29"/>
        <w:keepNext/>
        <w:keepLines/>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eastAsia="等线 Light"/>
          <w:color w:val="FF0000"/>
          <w:lang w:eastAsia="zh-CN"/>
        </w:rPr>
      </w:pPr>
    </w:p>
    <w:p>
      <w:pPr>
        <w:pStyle w:val="29"/>
        <w:numPr>
          <w:ilvl w:val="1"/>
          <w:numId w:val="0"/>
        </w:numPr>
        <w:rPr>
          <w:rFonts w:hint="default"/>
          <w:color w:val="FF0000"/>
        </w:rPr>
      </w:pPr>
    </w:p>
    <w:sectPr>
      <w:pgSz w:w="16838" w:h="11906" w:orient="landscape"/>
      <w:pgMar w:top="1417" w:right="1417" w:bottom="1417" w:left="141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 w:date="2025-02-27T15:22:37Z" w:initials="">
    <w:p w14:paraId="2F946987">
      <w:pPr>
        <w:pStyle w:val="9"/>
        <w:rPr>
          <w:rFonts w:hint="default" w:eastAsia="宋体"/>
          <w:lang w:val="en-US" w:eastAsia="zh-CN"/>
        </w:rPr>
      </w:pPr>
      <w:r>
        <w:rPr>
          <w:rFonts w:hint="eastAsia"/>
          <w:lang w:val="en-US" w:eastAsia="zh-CN"/>
        </w:rPr>
        <w:t>可以  这个项目不组织开会了 自己签下</w:t>
      </w:r>
    </w:p>
  </w:comment>
  <w:comment w:id="1" w:author="小刘小刘" w:date="2025-02-28T09:17:36Z" w:initials="">
    <w:p w14:paraId="03617890">
      <w:pPr>
        <w:pStyle w:val="9"/>
        <w:rPr>
          <w:rFonts w:hint="eastAsia" w:eastAsia="宋体"/>
          <w:lang w:val="en-US" w:eastAsia="zh-CN"/>
        </w:rPr>
      </w:pPr>
      <w:r>
        <w:rPr>
          <w:rFonts w:hint="eastAsia"/>
          <w:lang w:val="en-US" w:eastAsia="zh-CN"/>
        </w:rPr>
        <w:t>好的</w:t>
      </w:r>
    </w:p>
  </w:comment>
  <w:comment w:id="2" w:author="。。。。。" w:date="2025-02-27T15:23:19Z" w:initials="">
    <w:p w14:paraId="27434C12">
      <w:pPr>
        <w:pStyle w:val="9"/>
      </w:pPr>
      <w:r>
        <w:annotationRef/>
      </w:r>
    </w:p>
  </w:comment>
  <w:comment w:id="3" w:author="小刘小刘" w:date="2025-02-28T09:17:44Z" w:initials="">
    <w:p w14:paraId="39D163D8">
      <w:pPr>
        <w:pStyle w:val="9"/>
        <w:rPr>
          <w:rFonts w:hint="eastAsia" w:eastAsia="宋体"/>
          <w:lang w:val="en-US" w:eastAsia="zh-CN"/>
        </w:rPr>
      </w:pPr>
      <w:r>
        <w:rPr>
          <w:rFonts w:hint="eastAsia"/>
          <w:lang w:val="en-US" w:eastAsia="zh-CN"/>
        </w:rPr>
        <w:t>已改</w:t>
      </w:r>
    </w:p>
  </w:comment>
  <w:comment w:id="4" w:author="。。。。。" w:date="2025-02-27T15:23:51Z" w:initials="">
    <w:p w14:paraId="41FC722B">
      <w:pPr>
        <w:pStyle w:val="9"/>
      </w:pPr>
      <w:r>
        <w:annotationRef/>
      </w:r>
    </w:p>
  </w:comment>
  <w:comment w:id="5" w:author="小刘小刘" w:date="2025-02-28T09:13:54Z" w:initials="">
    <w:p w14:paraId="2E6130DF">
      <w:pPr>
        <w:pStyle w:val="9"/>
        <w:rPr>
          <w:rFonts w:hint="default" w:eastAsia="宋体"/>
          <w:lang w:val="en-US" w:eastAsia="zh-CN"/>
        </w:rPr>
      </w:pPr>
      <w:r>
        <w:rPr>
          <w:rFonts w:hint="eastAsia"/>
          <w:lang w:val="en-US" w:eastAsia="zh-CN"/>
        </w:rPr>
        <w:t>废气无变动    已删</w:t>
      </w:r>
    </w:p>
  </w:comment>
  <w:comment w:id="6" w:author="。。。。。" w:date="2025-02-27T15:24:03Z" w:initials="">
    <w:p w14:paraId="345A67CE">
      <w:pPr>
        <w:pStyle w:val="9"/>
      </w:pPr>
      <w:r>
        <w:annotationRef/>
      </w:r>
    </w:p>
  </w:comment>
  <w:comment w:id="7" w:author="小刘小刘" w:date="2025-02-28T09:18:15Z" w:initials="">
    <w:p w14:paraId="34947829">
      <w:pPr>
        <w:pStyle w:val="9"/>
        <w:rPr>
          <w:rFonts w:hint="eastAsia" w:eastAsia="宋体"/>
          <w:lang w:val="en-US" w:eastAsia="zh-CN"/>
        </w:rPr>
      </w:pPr>
      <w:r>
        <w:rPr>
          <w:rFonts w:hint="eastAsia"/>
          <w:lang w:val="en-US" w:eastAsia="zh-CN"/>
        </w:rPr>
        <w:t>已改</w:t>
      </w:r>
    </w:p>
  </w:comment>
  <w:comment w:id="8" w:author="。。。。。" w:date="2025-02-27T15:24:14Z" w:initials="">
    <w:p w14:paraId="39211B41">
      <w:pPr>
        <w:pStyle w:val="9"/>
      </w:pPr>
      <w:r>
        <w:annotationRef/>
      </w:r>
    </w:p>
  </w:comment>
  <w:comment w:id="9" w:author="小刘小刘" w:date="2025-02-28T09:18:29Z" w:initials="">
    <w:p w14:paraId="016A38BC">
      <w:pPr>
        <w:pStyle w:val="9"/>
        <w:rPr>
          <w:rFonts w:hint="eastAsia" w:eastAsia="宋体"/>
          <w:lang w:val="en-US" w:eastAsia="zh-CN"/>
        </w:rPr>
      </w:pPr>
      <w:r>
        <w:rPr>
          <w:rFonts w:hint="eastAsia"/>
          <w:lang w:val="en-US" w:eastAsia="zh-CN"/>
        </w:rPr>
        <w:t>已改</w:t>
      </w:r>
    </w:p>
  </w:comment>
  <w:comment w:id="10" w:author="小刘小刘" w:date="2025-02-28T09:18:37Z" w:initials="">
    <w:p w14:paraId="72711752">
      <w:pPr>
        <w:pStyle w:val="9"/>
        <w:rPr>
          <w:rFonts w:hint="eastAsia" w:eastAsia="宋体"/>
          <w:lang w:val="en-US" w:eastAsia="zh-CN"/>
        </w:rPr>
      </w:pPr>
      <w:r>
        <w:rPr>
          <w:rFonts w:hint="eastAsia"/>
          <w:lang w:val="en-US" w:eastAsia="zh-CN"/>
        </w:rPr>
        <w:t>已改</w:t>
      </w:r>
    </w:p>
  </w:comment>
  <w:comment w:id="11" w:author="。。。。。" w:date="2025-02-27T15:24:25Z" w:initials="">
    <w:p w14:paraId="36350481">
      <w:pPr>
        <w:pStyle w:val="9"/>
      </w:pPr>
      <w:r>
        <w:annotationRef/>
      </w:r>
    </w:p>
  </w:comment>
  <w:comment w:id="12" w:author="小刘小刘" w:date="2025-02-28T09:18:48Z" w:initials="">
    <w:p w14:paraId="6B4032E0">
      <w:pPr>
        <w:pStyle w:val="9"/>
        <w:rPr>
          <w:rFonts w:hint="eastAsia" w:eastAsia="宋体"/>
          <w:lang w:val="en-US" w:eastAsia="zh-CN"/>
        </w:rPr>
      </w:pPr>
      <w:r>
        <w:rPr>
          <w:rFonts w:hint="eastAsia"/>
          <w:lang w:val="en-US" w:eastAsia="zh-CN"/>
        </w:rPr>
        <w:t>已改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946987" w15:done="0"/>
  <w15:commentEx w15:paraId="03617890" w15:done="0" w15:paraIdParent="2F946987"/>
  <w15:commentEx w15:paraId="27434C12" w15:done="0"/>
  <w15:commentEx w15:paraId="39D163D8" w15:done="0" w15:paraIdParent="27434C12"/>
  <w15:commentEx w15:paraId="41FC722B" w15:done="0"/>
  <w15:commentEx w15:paraId="2E6130DF" w15:done="0" w15:paraIdParent="41FC722B"/>
  <w15:commentEx w15:paraId="345A67CE" w15:done="0"/>
  <w15:commentEx w15:paraId="34947829" w15:done="0" w15:paraIdParent="345A67CE"/>
  <w15:commentEx w15:paraId="39211B41" w15:done="0"/>
  <w15:commentEx w15:paraId="016A38BC" w15:done="0" w15:paraIdParent="39211B41"/>
  <w15:commentEx w15:paraId="72711752" w15:done="0"/>
  <w15:commentEx w15:paraId="36350481" w15:done="0"/>
  <w15:commentEx w15:paraId="6B4032E0" w15:done="0" w15:paraIdParent="3635048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57B61"/>
    <w:multiLevelType w:val="singleLevel"/>
    <w:tmpl w:val="E0557B61"/>
    <w:lvl w:ilvl="0" w:tentative="0">
      <w:start w:val="5"/>
      <w:numFmt w:val="chineseCounting"/>
      <w:suff w:val="nothing"/>
      <w:lvlText w:val="（%1）"/>
      <w:lvlJc w:val="left"/>
      <w:rPr>
        <w:rFonts w:hint="eastAsia"/>
      </w:rPr>
    </w:lvl>
  </w:abstractNum>
  <w:abstractNum w:abstractNumId="1">
    <w:nsid w:val="061F6DDB"/>
    <w:multiLevelType w:val="singleLevel"/>
    <w:tmpl w:val="061F6DDB"/>
    <w:lvl w:ilvl="0" w:tentative="0">
      <w:start w:val="2"/>
      <w:numFmt w:val="chineseCounting"/>
      <w:suff w:val="nothing"/>
      <w:lvlText w:val="（%1）"/>
      <w:lvlJc w:val="left"/>
      <w:rPr>
        <w:rFonts w:hint="eastAsia"/>
      </w:rPr>
    </w:lvl>
  </w:abstractNum>
  <w:abstractNum w:abstractNumId="2">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30"/>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1346219911"/>
  </w15:person>
  <w15:person w15:author="小刘小刘">
    <w15:presenceInfo w15:providerId="WPS Office" w15:userId="3424752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3NDRlNjQyYjNlZTdiMmNlMjBkMWNhNTkzOTRkMTAifQ=="/>
  </w:docVars>
  <w:rsids>
    <w:rsidRoot w:val="00831017"/>
    <w:rsid w:val="00000B47"/>
    <w:rsid w:val="000061D1"/>
    <w:rsid w:val="0001397B"/>
    <w:rsid w:val="00015349"/>
    <w:rsid w:val="00016531"/>
    <w:rsid w:val="00017D8F"/>
    <w:rsid w:val="00022599"/>
    <w:rsid w:val="000236D4"/>
    <w:rsid w:val="00030AA1"/>
    <w:rsid w:val="00033371"/>
    <w:rsid w:val="000345D4"/>
    <w:rsid w:val="00034622"/>
    <w:rsid w:val="0004001F"/>
    <w:rsid w:val="000414C5"/>
    <w:rsid w:val="0004218D"/>
    <w:rsid w:val="00043588"/>
    <w:rsid w:val="00043672"/>
    <w:rsid w:val="00046E04"/>
    <w:rsid w:val="00051BA4"/>
    <w:rsid w:val="000520E2"/>
    <w:rsid w:val="000522C0"/>
    <w:rsid w:val="0005293D"/>
    <w:rsid w:val="00052BF0"/>
    <w:rsid w:val="0006047F"/>
    <w:rsid w:val="00060E8A"/>
    <w:rsid w:val="00061244"/>
    <w:rsid w:val="000657F6"/>
    <w:rsid w:val="00066AAE"/>
    <w:rsid w:val="00067BEC"/>
    <w:rsid w:val="00071DA3"/>
    <w:rsid w:val="00074888"/>
    <w:rsid w:val="0007560F"/>
    <w:rsid w:val="00080A28"/>
    <w:rsid w:val="0008111F"/>
    <w:rsid w:val="00081651"/>
    <w:rsid w:val="00083C53"/>
    <w:rsid w:val="00083DD6"/>
    <w:rsid w:val="0008412C"/>
    <w:rsid w:val="000849D6"/>
    <w:rsid w:val="000853D1"/>
    <w:rsid w:val="000872F7"/>
    <w:rsid w:val="000875C2"/>
    <w:rsid w:val="00090811"/>
    <w:rsid w:val="000915DF"/>
    <w:rsid w:val="00093FE0"/>
    <w:rsid w:val="000940DA"/>
    <w:rsid w:val="00094EBC"/>
    <w:rsid w:val="00096681"/>
    <w:rsid w:val="0009748E"/>
    <w:rsid w:val="00097E86"/>
    <w:rsid w:val="00097EE3"/>
    <w:rsid w:val="000A059A"/>
    <w:rsid w:val="000A0E97"/>
    <w:rsid w:val="000A2751"/>
    <w:rsid w:val="000A509C"/>
    <w:rsid w:val="000A5627"/>
    <w:rsid w:val="000A6DA6"/>
    <w:rsid w:val="000B29A4"/>
    <w:rsid w:val="000B3274"/>
    <w:rsid w:val="000B3CEE"/>
    <w:rsid w:val="000B7484"/>
    <w:rsid w:val="000C0122"/>
    <w:rsid w:val="000C2288"/>
    <w:rsid w:val="000C3547"/>
    <w:rsid w:val="000C35CD"/>
    <w:rsid w:val="000C5345"/>
    <w:rsid w:val="000C6719"/>
    <w:rsid w:val="000C6BDB"/>
    <w:rsid w:val="000C6E16"/>
    <w:rsid w:val="000D059C"/>
    <w:rsid w:val="000D1777"/>
    <w:rsid w:val="000D1C62"/>
    <w:rsid w:val="000D2B68"/>
    <w:rsid w:val="000D6047"/>
    <w:rsid w:val="000D7E94"/>
    <w:rsid w:val="000E07F6"/>
    <w:rsid w:val="000E2BD1"/>
    <w:rsid w:val="000F15C3"/>
    <w:rsid w:val="000F1747"/>
    <w:rsid w:val="000F1D35"/>
    <w:rsid w:val="000F3363"/>
    <w:rsid w:val="000F4A7C"/>
    <w:rsid w:val="000F4FE9"/>
    <w:rsid w:val="000F5D22"/>
    <w:rsid w:val="000F79E7"/>
    <w:rsid w:val="00105C65"/>
    <w:rsid w:val="00111AD9"/>
    <w:rsid w:val="00112283"/>
    <w:rsid w:val="00112D55"/>
    <w:rsid w:val="001141CA"/>
    <w:rsid w:val="00115678"/>
    <w:rsid w:val="00116534"/>
    <w:rsid w:val="00117221"/>
    <w:rsid w:val="0012557A"/>
    <w:rsid w:val="00127E29"/>
    <w:rsid w:val="0013021D"/>
    <w:rsid w:val="001316D5"/>
    <w:rsid w:val="00132669"/>
    <w:rsid w:val="001335D0"/>
    <w:rsid w:val="001335E1"/>
    <w:rsid w:val="00137ADD"/>
    <w:rsid w:val="0014173B"/>
    <w:rsid w:val="0014645F"/>
    <w:rsid w:val="001506E9"/>
    <w:rsid w:val="00153E37"/>
    <w:rsid w:val="00155A09"/>
    <w:rsid w:val="001571BA"/>
    <w:rsid w:val="00160695"/>
    <w:rsid w:val="00164923"/>
    <w:rsid w:val="00164E0B"/>
    <w:rsid w:val="00164EDA"/>
    <w:rsid w:val="00166BC8"/>
    <w:rsid w:val="0017219F"/>
    <w:rsid w:val="00173419"/>
    <w:rsid w:val="001751A3"/>
    <w:rsid w:val="001760C9"/>
    <w:rsid w:val="00177319"/>
    <w:rsid w:val="00182647"/>
    <w:rsid w:val="001872C0"/>
    <w:rsid w:val="00190250"/>
    <w:rsid w:val="00190939"/>
    <w:rsid w:val="0019239C"/>
    <w:rsid w:val="00194B94"/>
    <w:rsid w:val="001A0B0B"/>
    <w:rsid w:val="001A1DA0"/>
    <w:rsid w:val="001A45D1"/>
    <w:rsid w:val="001A4C56"/>
    <w:rsid w:val="001A5F5F"/>
    <w:rsid w:val="001A659D"/>
    <w:rsid w:val="001B2008"/>
    <w:rsid w:val="001B23D7"/>
    <w:rsid w:val="001B4554"/>
    <w:rsid w:val="001B45CF"/>
    <w:rsid w:val="001B734F"/>
    <w:rsid w:val="001C128C"/>
    <w:rsid w:val="001C56B2"/>
    <w:rsid w:val="001D1A62"/>
    <w:rsid w:val="001D4B79"/>
    <w:rsid w:val="001D63DF"/>
    <w:rsid w:val="001E7B2F"/>
    <w:rsid w:val="001F3CD5"/>
    <w:rsid w:val="001F64A0"/>
    <w:rsid w:val="001F705A"/>
    <w:rsid w:val="0020040E"/>
    <w:rsid w:val="00203E04"/>
    <w:rsid w:val="00204DD0"/>
    <w:rsid w:val="00210BEE"/>
    <w:rsid w:val="00211B5D"/>
    <w:rsid w:val="00213411"/>
    <w:rsid w:val="00213792"/>
    <w:rsid w:val="0021621A"/>
    <w:rsid w:val="00217062"/>
    <w:rsid w:val="00220474"/>
    <w:rsid w:val="00223E1E"/>
    <w:rsid w:val="00226D05"/>
    <w:rsid w:val="002279F7"/>
    <w:rsid w:val="00227CF0"/>
    <w:rsid w:val="00230924"/>
    <w:rsid w:val="00231A26"/>
    <w:rsid w:val="00232802"/>
    <w:rsid w:val="0023356A"/>
    <w:rsid w:val="002349A1"/>
    <w:rsid w:val="00235466"/>
    <w:rsid w:val="002373AB"/>
    <w:rsid w:val="002417BC"/>
    <w:rsid w:val="0024423C"/>
    <w:rsid w:val="0024633E"/>
    <w:rsid w:val="00247119"/>
    <w:rsid w:val="002526E1"/>
    <w:rsid w:val="002550EB"/>
    <w:rsid w:val="00262142"/>
    <w:rsid w:val="00267184"/>
    <w:rsid w:val="002702F9"/>
    <w:rsid w:val="002729FF"/>
    <w:rsid w:val="00274D3C"/>
    <w:rsid w:val="00277395"/>
    <w:rsid w:val="00280F8E"/>
    <w:rsid w:val="00287877"/>
    <w:rsid w:val="00292B06"/>
    <w:rsid w:val="0029728F"/>
    <w:rsid w:val="0029782C"/>
    <w:rsid w:val="00297E7B"/>
    <w:rsid w:val="002A1A28"/>
    <w:rsid w:val="002A1B0A"/>
    <w:rsid w:val="002A4C3E"/>
    <w:rsid w:val="002A59BF"/>
    <w:rsid w:val="002A5D58"/>
    <w:rsid w:val="002B190C"/>
    <w:rsid w:val="002B2D46"/>
    <w:rsid w:val="002B398E"/>
    <w:rsid w:val="002B43AE"/>
    <w:rsid w:val="002C0A07"/>
    <w:rsid w:val="002C0B76"/>
    <w:rsid w:val="002C3541"/>
    <w:rsid w:val="002C3B6D"/>
    <w:rsid w:val="002C4624"/>
    <w:rsid w:val="002C5BF6"/>
    <w:rsid w:val="002C770B"/>
    <w:rsid w:val="002D2F0C"/>
    <w:rsid w:val="002D4C65"/>
    <w:rsid w:val="002D6A26"/>
    <w:rsid w:val="002E0704"/>
    <w:rsid w:val="002E1CF0"/>
    <w:rsid w:val="002E26C6"/>
    <w:rsid w:val="002E4892"/>
    <w:rsid w:val="002F015D"/>
    <w:rsid w:val="002F114E"/>
    <w:rsid w:val="003009A8"/>
    <w:rsid w:val="00300D02"/>
    <w:rsid w:val="00301760"/>
    <w:rsid w:val="00306CB7"/>
    <w:rsid w:val="00306FEB"/>
    <w:rsid w:val="003076A9"/>
    <w:rsid w:val="00313B6E"/>
    <w:rsid w:val="00316931"/>
    <w:rsid w:val="00316DC1"/>
    <w:rsid w:val="00321CE9"/>
    <w:rsid w:val="003226B7"/>
    <w:rsid w:val="003278F6"/>
    <w:rsid w:val="003348AC"/>
    <w:rsid w:val="00335111"/>
    <w:rsid w:val="00336F34"/>
    <w:rsid w:val="00336FDB"/>
    <w:rsid w:val="00337FF4"/>
    <w:rsid w:val="00340E5E"/>
    <w:rsid w:val="00341C86"/>
    <w:rsid w:val="00344F4A"/>
    <w:rsid w:val="003461E9"/>
    <w:rsid w:val="00354082"/>
    <w:rsid w:val="00357FF0"/>
    <w:rsid w:val="00360DAC"/>
    <w:rsid w:val="0036321E"/>
    <w:rsid w:val="00364E80"/>
    <w:rsid w:val="00367115"/>
    <w:rsid w:val="003721A5"/>
    <w:rsid w:val="00374533"/>
    <w:rsid w:val="00376AA8"/>
    <w:rsid w:val="00376E12"/>
    <w:rsid w:val="00381D5E"/>
    <w:rsid w:val="00381DED"/>
    <w:rsid w:val="003857A7"/>
    <w:rsid w:val="00385FE4"/>
    <w:rsid w:val="00387E1A"/>
    <w:rsid w:val="003944EC"/>
    <w:rsid w:val="003A4EFF"/>
    <w:rsid w:val="003B1018"/>
    <w:rsid w:val="003B2162"/>
    <w:rsid w:val="003B4D37"/>
    <w:rsid w:val="003D0156"/>
    <w:rsid w:val="003D0C56"/>
    <w:rsid w:val="003D1C72"/>
    <w:rsid w:val="003D5D35"/>
    <w:rsid w:val="003D7CD1"/>
    <w:rsid w:val="003E130F"/>
    <w:rsid w:val="003E4A19"/>
    <w:rsid w:val="003F1484"/>
    <w:rsid w:val="003F437E"/>
    <w:rsid w:val="003F712D"/>
    <w:rsid w:val="003F7EA5"/>
    <w:rsid w:val="00401182"/>
    <w:rsid w:val="0040481B"/>
    <w:rsid w:val="0040585C"/>
    <w:rsid w:val="00405AE2"/>
    <w:rsid w:val="00406ED9"/>
    <w:rsid w:val="00410B74"/>
    <w:rsid w:val="004135B5"/>
    <w:rsid w:val="004150FB"/>
    <w:rsid w:val="004200F5"/>
    <w:rsid w:val="0042480D"/>
    <w:rsid w:val="004259EB"/>
    <w:rsid w:val="00425B73"/>
    <w:rsid w:val="004278AC"/>
    <w:rsid w:val="0043255C"/>
    <w:rsid w:val="00435FE5"/>
    <w:rsid w:val="00437047"/>
    <w:rsid w:val="00437E7E"/>
    <w:rsid w:val="0044184C"/>
    <w:rsid w:val="00442DFE"/>
    <w:rsid w:val="00444757"/>
    <w:rsid w:val="00454291"/>
    <w:rsid w:val="0045470C"/>
    <w:rsid w:val="004550FA"/>
    <w:rsid w:val="00457F8F"/>
    <w:rsid w:val="0046102F"/>
    <w:rsid w:val="00463517"/>
    <w:rsid w:val="004711F6"/>
    <w:rsid w:val="0047487C"/>
    <w:rsid w:val="00477B23"/>
    <w:rsid w:val="00480AFE"/>
    <w:rsid w:val="00481C08"/>
    <w:rsid w:val="00486015"/>
    <w:rsid w:val="00486E55"/>
    <w:rsid w:val="004905CB"/>
    <w:rsid w:val="0049484B"/>
    <w:rsid w:val="00495E2A"/>
    <w:rsid w:val="00497566"/>
    <w:rsid w:val="00497D8C"/>
    <w:rsid w:val="004A202A"/>
    <w:rsid w:val="004A49DC"/>
    <w:rsid w:val="004B5E2F"/>
    <w:rsid w:val="004C26E5"/>
    <w:rsid w:val="004C425E"/>
    <w:rsid w:val="004C5766"/>
    <w:rsid w:val="004D09DF"/>
    <w:rsid w:val="004D2308"/>
    <w:rsid w:val="004D46A2"/>
    <w:rsid w:val="004D4A18"/>
    <w:rsid w:val="004D52AD"/>
    <w:rsid w:val="004D7CC2"/>
    <w:rsid w:val="004E29B9"/>
    <w:rsid w:val="004E2C77"/>
    <w:rsid w:val="004E3DF4"/>
    <w:rsid w:val="004E3F5F"/>
    <w:rsid w:val="004E6645"/>
    <w:rsid w:val="004E734E"/>
    <w:rsid w:val="004F3112"/>
    <w:rsid w:val="004F3F65"/>
    <w:rsid w:val="00500E9B"/>
    <w:rsid w:val="00503D5B"/>
    <w:rsid w:val="00505D0F"/>
    <w:rsid w:val="00513636"/>
    <w:rsid w:val="005146A8"/>
    <w:rsid w:val="00514BC2"/>
    <w:rsid w:val="00514ED6"/>
    <w:rsid w:val="00515788"/>
    <w:rsid w:val="00516F4B"/>
    <w:rsid w:val="00520CA9"/>
    <w:rsid w:val="005248F3"/>
    <w:rsid w:val="00531257"/>
    <w:rsid w:val="00541EDB"/>
    <w:rsid w:val="005440F4"/>
    <w:rsid w:val="0054455E"/>
    <w:rsid w:val="00552AC5"/>
    <w:rsid w:val="0055394A"/>
    <w:rsid w:val="00557C38"/>
    <w:rsid w:val="005609C7"/>
    <w:rsid w:val="00562526"/>
    <w:rsid w:val="0056255A"/>
    <w:rsid w:val="00562619"/>
    <w:rsid w:val="00564595"/>
    <w:rsid w:val="005649E9"/>
    <w:rsid w:val="005707B9"/>
    <w:rsid w:val="00570E70"/>
    <w:rsid w:val="00572044"/>
    <w:rsid w:val="0057600B"/>
    <w:rsid w:val="005770BE"/>
    <w:rsid w:val="005848FF"/>
    <w:rsid w:val="00587828"/>
    <w:rsid w:val="005918E0"/>
    <w:rsid w:val="00597ABF"/>
    <w:rsid w:val="005A021B"/>
    <w:rsid w:val="005A47B7"/>
    <w:rsid w:val="005A52D6"/>
    <w:rsid w:val="005A7C62"/>
    <w:rsid w:val="005A7F7B"/>
    <w:rsid w:val="005B1C32"/>
    <w:rsid w:val="005B2553"/>
    <w:rsid w:val="005B34FE"/>
    <w:rsid w:val="005B583E"/>
    <w:rsid w:val="005B69B1"/>
    <w:rsid w:val="005B763D"/>
    <w:rsid w:val="005C03EC"/>
    <w:rsid w:val="005D0159"/>
    <w:rsid w:val="005D0CE3"/>
    <w:rsid w:val="005D1D3B"/>
    <w:rsid w:val="005D1FAB"/>
    <w:rsid w:val="005D2B06"/>
    <w:rsid w:val="005D2C69"/>
    <w:rsid w:val="005D3FA9"/>
    <w:rsid w:val="005E21FA"/>
    <w:rsid w:val="005E22CB"/>
    <w:rsid w:val="005E2601"/>
    <w:rsid w:val="005E4143"/>
    <w:rsid w:val="005E4979"/>
    <w:rsid w:val="005E70AC"/>
    <w:rsid w:val="005E7A7A"/>
    <w:rsid w:val="005F13B2"/>
    <w:rsid w:val="005F1715"/>
    <w:rsid w:val="005F61AE"/>
    <w:rsid w:val="005F7C39"/>
    <w:rsid w:val="006007FD"/>
    <w:rsid w:val="00601143"/>
    <w:rsid w:val="006032AA"/>
    <w:rsid w:val="00603994"/>
    <w:rsid w:val="006041E8"/>
    <w:rsid w:val="006048FA"/>
    <w:rsid w:val="0060566D"/>
    <w:rsid w:val="00606C3B"/>
    <w:rsid w:val="00611480"/>
    <w:rsid w:val="00614976"/>
    <w:rsid w:val="00614BAC"/>
    <w:rsid w:val="00615B9C"/>
    <w:rsid w:val="00615F86"/>
    <w:rsid w:val="00616C09"/>
    <w:rsid w:val="00620F0C"/>
    <w:rsid w:val="00621C26"/>
    <w:rsid w:val="006229BD"/>
    <w:rsid w:val="00623948"/>
    <w:rsid w:val="006263F9"/>
    <w:rsid w:val="00631C18"/>
    <w:rsid w:val="00634C5B"/>
    <w:rsid w:val="00636444"/>
    <w:rsid w:val="0063723E"/>
    <w:rsid w:val="00641059"/>
    <w:rsid w:val="006417EC"/>
    <w:rsid w:val="00645BAF"/>
    <w:rsid w:val="00653F85"/>
    <w:rsid w:val="00654202"/>
    <w:rsid w:val="006548B9"/>
    <w:rsid w:val="006578DC"/>
    <w:rsid w:val="00663600"/>
    <w:rsid w:val="00663C98"/>
    <w:rsid w:val="00671F72"/>
    <w:rsid w:val="00672F17"/>
    <w:rsid w:val="00673951"/>
    <w:rsid w:val="00673BBE"/>
    <w:rsid w:val="006825F7"/>
    <w:rsid w:val="006860F4"/>
    <w:rsid w:val="00692DB0"/>
    <w:rsid w:val="00692EAC"/>
    <w:rsid w:val="00693078"/>
    <w:rsid w:val="00693C2C"/>
    <w:rsid w:val="006957D8"/>
    <w:rsid w:val="0069684B"/>
    <w:rsid w:val="00697D11"/>
    <w:rsid w:val="006A120D"/>
    <w:rsid w:val="006A56A5"/>
    <w:rsid w:val="006A6034"/>
    <w:rsid w:val="006A6843"/>
    <w:rsid w:val="006B0830"/>
    <w:rsid w:val="006B1FD7"/>
    <w:rsid w:val="006C43C0"/>
    <w:rsid w:val="006D538B"/>
    <w:rsid w:val="006E14E2"/>
    <w:rsid w:val="006E4CEE"/>
    <w:rsid w:val="006E54E7"/>
    <w:rsid w:val="006F12DB"/>
    <w:rsid w:val="006F2150"/>
    <w:rsid w:val="0070184D"/>
    <w:rsid w:val="0070256E"/>
    <w:rsid w:val="00703473"/>
    <w:rsid w:val="00705BD0"/>
    <w:rsid w:val="0071082E"/>
    <w:rsid w:val="00710BA3"/>
    <w:rsid w:val="007131A0"/>
    <w:rsid w:val="00714476"/>
    <w:rsid w:val="00714CB0"/>
    <w:rsid w:val="00722917"/>
    <w:rsid w:val="0072357D"/>
    <w:rsid w:val="00725DD0"/>
    <w:rsid w:val="00731F43"/>
    <w:rsid w:val="007414D2"/>
    <w:rsid w:val="007428EC"/>
    <w:rsid w:val="00746120"/>
    <w:rsid w:val="00746F24"/>
    <w:rsid w:val="007478C4"/>
    <w:rsid w:val="00750A5D"/>
    <w:rsid w:val="00750E13"/>
    <w:rsid w:val="00752369"/>
    <w:rsid w:val="00752465"/>
    <w:rsid w:val="00752DA2"/>
    <w:rsid w:val="00754056"/>
    <w:rsid w:val="00754A56"/>
    <w:rsid w:val="007572AD"/>
    <w:rsid w:val="00761D03"/>
    <w:rsid w:val="007638C5"/>
    <w:rsid w:val="0077056F"/>
    <w:rsid w:val="00775693"/>
    <w:rsid w:val="00776DCE"/>
    <w:rsid w:val="00782D00"/>
    <w:rsid w:val="00782EC0"/>
    <w:rsid w:val="00794003"/>
    <w:rsid w:val="007A0456"/>
    <w:rsid w:val="007A0CDB"/>
    <w:rsid w:val="007A1343"/>
    <w:rsid w:val="007A2380"/>
    <w:rsid w:val="007A27C1"/>
    <w:rsid w:val="007A34A5"/>
    <w:rsid w:val="007A3C5B"/>
    <w:rsid w:val="007B042A"/>
    <w:rsid w:val="007B175B"/>
    <w:rsid w:val="007B3AF4"/>
    <w:rsid w:val="007B568E"/>
    <w:rsid w:val="007B7406"/>
    <w:rsid w:val="007B7C68"/>
    <w:rsid w:val="007C1C9F"/>
    <w:rsid w:val="007D231C"/>
    <w:rsid w:val="007D3769"/>
    <w:rsid w:val="007E29F3"/>
    <w:rsid w:val="007E3483"/>
    <w:rsid w:val="007E3AFD"/>
    <w:rsid w:val="007E4985"/>
    <w:rsid w:val="007E4E78"/>
    <w:rsid w:val="007E6516"/>
    <w:rsid w:val="007F58D7"/>
    <w:rsid w:val="00801257"/>
    <w:rsid w:val="00801DA9"/>
    <w:rsid w:val="008061A9"/>
    <w:rsid w:val="008103FB"/>
    <w:rsid w:val="00810B45"/>
    <w:rsid w:val="00820764"/>
    <w:rsid w:val="0082390F"/>
    <w:rsid w:val="00823922"/>
    <w:rsid w:val="00824032"/>
    <w:rsid w:val="0082481E"/>
    <w:rsid w:val="00831017"/>
    <w:rsid w:val="008335BF"/>
    <w:rsid w:val="00840844"/>
    <w:rsid w:val="00841D1E"/>
    <w:rsid w:val="008424B3"/>
    <w:rsid w:val="0084788C"/>
    <w:rsid w:val="008514CF"/>
    <w:rsid w:val="00853ACA"/>
    <w:rsid w:val="00856AF9"/>
    <w:rsid w:val="0085713C"/>
    <w:rsid w:val="00861D92"/>
    <w:rsid w:val="00862937"/>
    <w:rsid w:val="00865B06"/>
    <w:rsid w:val="00867C67"/>
    <w:rsid w:val="0087264A"/>
    <w:rsid w:val="008738B1"/>
    <w:rsid w:val="00873BA5"/>
    <w:rsid w:val="00873EB0"/>
    <w:rsid w:val="00874973"/>
    <w:rsid w:val="00874CFA"/>
    <w:rsid w:val="008779BE"/>
    <w:rsid w:val="00881451"/>
    <w:rsid w:val="00882897"/>
    <w:rsid w:val="00883E89"/>
    <w:rsid w:val="00884B5F"/>
    <w:rsid w:val="008922B1"/>
    <w:rsid w:val="00893AE6"/>
    <w:rsid w:val="00894BAF"/>
    <w:rsid w:val="00894D20"/>
    <w:rsid w:val="00897C65"/>
    <w:rsid w:val="008A033F"/>
    <w:rsid w:val="008A0966"/>
    <w:rsid w:val="008A0C87"/>
    <w:rsid w:val="008A26A8"/>
    <w:rsid w:val="008A5F22"/>
    <w:rsid w:val="008B0549"/>
    <w:rsid w:val="008B2BF1"/>
    <w:rsid w:val="008B3ED6"/>
    <w:rsid w:val="008B4ED2"/>
    <w:rsid w:val="008C09F1"/>
    <w:rsid w:val="008C292B"/>
    <w:rsid w:val="008C49A7"/>
    <w:rsid w:val="008C4F9E"/>
    <w:rsid w:val="008C6B7F"/>
    <w:rsid w:val="008C6F83"/>
    <w:rsid w:val="008E0C2E"/>
    <w:rsid w:val="008E0FC2"/>
    <w:rsid w:val="008E1D00"/>
    <w:rsid w:val="008F0253"/>
    <w:rsid w:val="008F58D7"/>
    <w:rsid w:val="009002D3"/>
    <w:rsid w:val="009011BF"/>
    <w:rsid w:val="00903EFD"/>
    <w:rsid w:val="009053DB"/>
    <w:rsid w:val="009063F5"/>
    <w:rsid w:val="0091402F"/>
    <w:rsid w:val="00914059"/>
    <w:rsid w:val="00914916"/>
    <w:rsid w:val="009173EB"/>
    <w:rsid w:val="009217EC"/>
    <w:rsid w:val="00925112"/>
    <w:rsid w:val="009264C5"/>
    <w:rsid w:val="00926CCC"/>
    <w:rsid w:val="009319FC"/>
    <w:rsid w:val="0093245A"/>
    <w:rsid w:val="00932BFD"/>
    <w:rsid w:val="00933F56"/>
    <w:rsid w:val="00935EF4"/>
    <w:rsid w:val="00937194"/>
    <w:rsid w:val="009404DF"/>
    <w:rsid w:val="00940799"/>
    <w:rsid w:val="009411C7"/>
    <w:rsid w:val="00943CA6"/>
    <w:rsid w:val="00950071"/>
    <w:rsid w:val="00950401"/>
    <w:rsid w:val="00950CB7"/>
    <w:rsid w:val="00953808"/>
    <w:rsid w:val="00954D73"/>
    <w:rsid w:val="00956F6F"/>
    <w:rsid w:val="00957318"/>
    <w:rsid w:val="0096284F"/>
    <w:rsid w:val="009632FA"/>
    <w:rsid w:val="00963451"/>
    <w:rsid w:val="00967E63"/>
    <w:rsid w:val="009712FE"/>
    <w:rsid w:val="00971C3C"/>
    <w:rsid w:val="0097288B"/>
    <w:rsid w:val="00972B1C"/>
    <w:rsid w:val="00972E12"/>
    <w:rsid w:val="00977814"/>
    <w:rsid w:val="00977AFE"/>
    <w:rsid w:val="009807CC"/>
    <w:rsid w:val="00981805"/>
    <w:rsid w:val="009823DB"/>
    <w:rsid w:val="009838E0"/>
    <w:rsid w:val="00985D66"/>
    <w:rsid w:val="0098631A"/>
    <w:rsid w:val="0098696D"/>
    <w:rsid w:val="00987F0C"/>
    <w:rsid w:val="00991489"/>
    <w:rsid w:val="00991A05"/>
    <w:rsid w:val="00991FC7"/>
    <w:rsid w:val="00993950"/>
    <w:rsid w:val="0099484D"/>
    <w:rsid w:val="00995FC9"/>
    <w:rsid w:val="009A02B3"/>
    <w:rsid w:val="009A02F8"/>
    <w:rsid w:val="009A2343"/>
    <w:rsid w:val="009A27AB"/>
    <w:rsid w:val="009A28AC"/>
    <w:rsid w:val="009A559A"/>
    <w:rsid w:val="009A6589"/>
    <w:rsid w:val="009B20C8"/>
    <w:rsid w:val="009B282E"/>
    <w:rsid w:val="009B3EE4"/>
    <w:rsid w:val="009B4AEF"/>
    <w:rsid w:val="009B646D"/>
    <w:rsid w:val="009C06B0"/>
    <w:rsid w:val="009C244C"/>
    <w:rsid w:val="009D1D24"/>
    <w:rsid w:val="009D3EE6"/>
    <w:rsid w:val="009D4422"/>
    <w:rsid w:val="009D60E2"/>
    <w:rsid w:val="009D6960"/>
    <w:rsid w:val="009E0045"/>
    <w:rsid w:val="009E195E"/>
    <w:rsid w:val="009E5AB1"/>
    <w:rsid w:val="009E77E7"/>
    <w:rsid w:val="009F08C3"/>
    <w:rsid w:val="009F141D"/>
    <w:rsid w:val="009F498B"/>
    <w:rsid w:val="009F52ED"/>
    <w:rsid w:val="009F5CA0"/>
    <w:rsid w:val="00A021B9"/>
    <w:rsid w:val="00A04A8B"/>
    <w:rsid w:val="00A10B47"/>
    <w:rsid w:val="00A2305E"/>
    <w:rsid w:val="00A26315"/>
    <w:rsid w:val="00A33123"/>
    <w:rsid w:val="00A356C5"/>
    <w:rsid w:val="00A43411"/>
    <w:rsid w:val="00A4468E"/>
    <w:rsid w:val="00A45963"/>
    <w:rsid w:val="00A46136"/>
    <w:rsid w:val="00A50FAC"/>
    <w:rsid w:val="00A54BA4"/>
    <w:rsid w:val="00A56608"/>
    <w:rsid w:val="00A56AD5"/>
    <w:rsid w:val="00A574C2"/>
    <w:rsid w:val="00A57CC1"/>
    <w:rsid w:val="00A6190C"/>
    <w:rsid w:val="00A62B3E"/>
    <w:rsid w:val="00A66771"/>
    <w:rsid w:val="00A66890"/>
    <w:rsid w:val="00A66B15"/>
    <w:rsid w:val="00A70833"/>
    <w:rsid w:val="00A7154D"/>
    <w:rsid w:val="00A71C89"/>
    <w:rsid w:val="00A726B3"/>
    <w:rsid w:val="00A7463B"/>
    <w:rsid w:val="00A75869"/>
    <w:rsid w:val="00A763D3"/>
    <w:rsid w:val="00A767DD"/>
    <w:rsid w:val="00A77EC7"/>
    <w:rsid w:val="00A844DC"/>
    <w:rsid w:val="00A86262"/>
    <w:rsid w:val="00A94E4E"/>
    <w:rsid w:val="00A965C4"/>
    <w:rsid w:val="00AA32BB"/>
    <w:rsid w:val="00AA392E"/>
    <w:rsid w:val="00AA3F16"/>
    <w:rsid w:val="00AA5BCE"/>
    <w:rsid w:val="00AA688B"/>
    <w:rsid w:val="00AA6904"/>
    <w:rsid w:val="00AA6975"/>
    <w:rsid w:val="00AB188C"/>
    <w:rsid w:val="00AB2B13"/>
    <w:rsid w:val="00AB63E1"/>
    <w:rsid w:val="00AC5B0B"/>
    <w:rsid w:val="00AD077A"/>
    <w:rsid w:val="00AD2F47"/>
    <w:rsid w:val="00AD5CB9"/>
    <w:rsid w:val="00AE20D7"/>
    <w:rsid w:val="00AE2C3E"/>
    <w:rsid w:val="00AE3BEA"/>
    <w:rsid w:val="00AE7087"/>
    <w:rsid w:val="00AF0475"/>
    <w:rsid w:val="00AF226C"/>
    <w:rsid w:val="00AF308A"/>
    <w:rsid w:val="00AF4742"/>
    <w:rsid w:val="00AF5C4C"/>
    <w:rsid w:val="00AF61B6"/>
    <w:rsid w:val="00AF62C0"/>
    <w:rsid w:val="00AF744D"/>
    <w:rsid w:val="00AF7D38"/>
    <w:rsid w:val="00B1686F"/>
    <w:rsid w:val="00B20FC6"/>
    <w:rsid w:val="00B21096"/>
    <w:rsid w:val="00B231E7"/>
    <w:rsid w:val="00B23BAE"/>
    <w:rsid w:val="00B249FA"/>
    <w:rsid w:val="00B258C7"/>
    <w:rsid w:val="00B265FB"/>
    <w:rsid w:val="00B32FFF"/>
    <w:rsid w:val="00B3432E"/>
    <w:rsid w:val="00B36E77"/>
    <w:rsid w:val="00B370BC"/>
    <w:rsid w:val="00B46D06"/>
    <w:rsid w:val="00B50976"/>
    <w:rsid w:val="00B52343"/>
    <w:rsid w:val="00B53005"/>
    <w:rsid w:val="00B55BFA"/>
    <w:rsid w:val="00B561C5"/>
    <w:rsid w:val="00B57D3F"/>
    <w:rsid w:val="00B6270B"/>
    <w:rsid w:val="00B63F61"/>
    <w:rsid w:val="00B66760"/>
    <w:rsid w:val="00B727C9"/>
    <w:rsid w:val="00B72A26"/>
    <w:rsid w:val="00B72B0C"/>
    <w:rsid w:val="00B72E90"/>
    <w:rsid w:val="00B81A1C"/>
    <w:rsid w:val="00B87A23"/>
    <w:rsid w:val="00B906AB"/>
    <w:rsid w:val="00B90BE1"/>
    <w:rsid w:val="00B928E7"/>
    <w:rsid w:val="00B939F2"/>
    <w:rsid w:val="00B93E56"/>
    <w:rsid w:val="00B95EE9"/>
    <w:rsid w:val="00B96B71"/>
    <w:rsid w:val="00BA0FB1"/>
    <w:rsid w:val="00BA22D5"/>
    <w:rsid w:val="00BA3A33"/>
    <w:rsid w:val="00BB1103"/>
    <w:rsid w:val="00BC012A"/>
    <w:rsid w:val="00BC58CF"/>
    <w:rsid w:val="00BC7A0A"/>
    <w:rsid w:val="00BD159F"/>
    <w:rsid w:val="00BD6201"/>
    <w:rsid w:val="00BE0667"/>
    <w:rsid w:val="00BE0D62"/>
    <w:rsid w:val="00BE225A"/>
    <w:rsid w:val="00BE2C72"/>
    <w:rsid w:val="00BE58F8"/>
    <w:rsid w:val="00BE693C"/>
    <w:rsid w:val="00BE6A34"/>
    <w:rsid w:val="00BF2ED7"/>
    <w:rsid w:val="00C01D13"/>
    <w:rsid w:val="00C03EB1"/>
    <w:rsid w:val="00C04596"/>
    <w:rsid w:val="00C05311"/>
    <w:rsid w:val="00C05B01"/>
    <w:rsid w:val="00C100D4"/>
    <w:rsid w:val="00C149E5"/>
    <w:rsid w:val="00C14EB7"/>
    <w:rsid w:val="00C15398"/>
    <w:rsid w:val="00C219B3"/>
    <w:rsid w:val="00C24EDB"/>
    <w:rsid w:val="00C255FA"/>
    <w:rsid w:val="00C31263"/>
    <w:rsid w:val="00C36DBE"/>
    <w:rsid w:val="00C379B2"/>
    <w:rsid w:val="00C4164A"/>
    <w:rsid w:val="00C44373"/>
    <w:rsid w:val="00C446BE"/>
    <w:rsid w:val="00C44C5D"/>
    <w:rsid w:val="00C50605"/>
    <w:rsid w:val="00C62640"/>
    <w:rsid w:val="00C7064B"/>
    <w:rsid w:val="00C711A7"/>
    <w:rsid w:val="00C72A6A"/>
    <w:rsid w:val="00C767CC"/>
    <w:rsid w:val="00C779EF"/>
    <w:rsid w:val="00C816B9"/>
    <w:rsid w:val="00C836A5"/>
    <w:rsid w:val="00C84418"/>
    <w:rsid w:val="00C91FE0"/>
    <w:rsid w:val="00C966DC"/>
    <w:rsid w:val="00C969F2"/>
    <w:rsid w:val="00C97440"/>
    <w:rsid w:val="00CA1423"/>
    <w:rsid w:val="00CA1FA3"/>
    <w:rsid w:val="00CA7201"/>
    <w:rsid w:val="00CB1E26"/>
    <w:rsid w:val="00CB4582"/>
    <w:rsid w:val="00CC0C42"/>
    <w:rsid w:val="00CC6B91"/>
    <w:rsid w:val="00CC73E9"/>
    <w:rsid w:val="00CC7DCB"/>
    <w:rsid w:val="00CD2B65"/>
    <w:rsid w:val="00CD5F76"/>
    <w:rsid w:val="00CE3466"/>
    <w:rsid w:val="00CE5BA1"/>
    <w:rsid w:val="00CF1239"/>
    <w:rsid w:val="00CF1CA9"/>
    <w:rsid w:val="00CF1EAC"/>
    <w:rsid w:val="00CF2B59"/>
    <w:rsid w:val="00CF495D"/>
    <w:rsid w:val="00CF7F3A"/>
    <w:rsid w:val="00D00A7E"/>
    <w:rsid w:val="00D037E5"/>
    <w:rsid w:val="00D04069"/>
    <w:rsid w:val="00D053B2"/>
    <w:rsid w:val="00D1488E"/>
    <w:rsid w:val="00D14DFD"/>
    <w:rsid w:val="00D15379"/>
    <w:rsid w:val="00D16ED7"/>
    <w:rsid w:val="00D210C4"/>
    <w:rsid w:val="00D21540"/>
    <w:rsid w:val="00D21AEF"/>
    <w:rsid w:val="00D23CB6"/>
    <w:rsid w:val="00D24D61"/>
    <w:rsid w:val="00D2608A"/>
    <w:rsid w:val="00D26DBD"/>
    <w:rsid w:val="00D30400"/>
    <w:rsid w:val="00D30ED2"/>
    <w:rsid w:val="00D319A6"/>
    <w:rsid w:val="00D31D3A"/>
    <w:rsid w:val="00D33F34"/>
    <w:rsid w:val="00D343FB"/>
    <w:rsid w:val="00D37FE7"/>
    <w:rsid w:val="00D42871"/>
    <w:rsid w:val="00D449CE"/>
    <w:rsid w:val="00D46672"/>
    <w:rsid w:val="00D46ACE"/>
    <w:rsid w:val="00D478A3"/>
    <w:rsid w:val="00D54406"/>
    <w:rsid w:val="00D5518A"/>
    <w:rsid w:val="00D56A29"/>
    <w:rsid w:val="00D60A68"/>
    <w:rsid w:val="00D6157E"/>
    <w:rsid w:val="00D62406"/>
    <w:rsid w:val="00D6353F"/>
    <w:rsid w:val="00D651B0"/>
    <w:rsid w:val="00D66AD3"/>
    <w:rsid w:val="00D67A16"/>
    <w:rsid w:val="00D71BE7"/>
    <w:rsid w:val="00D745DD"/>
    <w:rsid w:val="00D828B3"/>
    <w:rsid w:val="00D8671C"/>
    <w:rsid w:val="00D86C4B"/>
    <w:rsid w:val="00D95094"/>
    <w:rsid w:val="00DA5DB6"/>
    <w:rsid w:val="00DB727F"/>
    <w:rsid w:val="00DC2CC2"/>
    <w:rsid w:val="00DD00D0"/>
    <w:rsid w:val="00DD07F5"/>
    <w:rsid w:val="00DD2229"/>
    <w:rsid w:val="00DD73A9"/>
    <w:rsid w:val="00DD7A07"/>
    <w:rsid w:val="00DE0438"/>
    <w:rsid w:val="00DE1D47"/>
    <w:rsid w:val="00DE2910"/>
    <w:rsid w:val="00DE40CF"/>
    <w:rsid w:val="00DE635C"/>
    <w:rsid w:val="00DF166C"/>
    <w:rsid w:val="00DF44E6"/>
    <w:rsid w:val="00DF5328"/>
    <w:rsid w:val="00DF6827"/>
    <w:rsid w:val="00DF696B"/>
    <w:rsid w:val="00E016DD"/>
    <w:rsid w:val="00E020D1"/>
    <w:rsid w:val="00E02D79"/>
    <w:rsid w:val="00E05888"/>
    <w:rsid w:val="00E05C30"/>
    <w:rsid w:val="00E10FD7"/>
    <w:rsid w:val="00E13CF6"/>
    <w:rsid w:val="00E15050"/>
    <w:rsid w:val="00E163B8"/>
    <w:rsid w:val="00E20B24"/>
    <w:rsid w:val="00E23459"/>
    <w:rsid w:val="00E25376"/>
    <w:rsid w:val="00E25751"/>
    <w:rsid w:val="00E268C5"/>
    <w:rsid w:val="00E27697"/>
    <w:rsid w:val="00E33BA3"/>
    <w:rsid w:val="00E44A8C"/>
    <w:rsid w:val="00E4570B"/>
    <w:rsid w:val="00E50A9D"/>
    <w:rsid w:val="00E50E09"/>
    <w:rsid w:val="00E53DCF"/>
    <w:rsid w:val="00E53FAE"/>
    <w:rsid w:val="00E574F6"/>
    <w:rsid w:val="00E61399"/>
    <w:rsid w:val="00E623C9"/>
    <w:rsid w:val="00E64B11"/>
    <w:rsid w:val="00E653B7"/>
    <w:rsid w:val="00E65D33"/>
    <w:rsid w:val="00E65FC9"/>
    <w:rsid w:val="00E70166"/>
    <w:rsid w:val="00E711D7"/>
    <w:rsid w:val="00E716A9"/>
    <w:rsid w:val="00E72B39"/>
    <w:rsid w:val="00E7536C"/>
    <w:rsid w:val="00E77D84"/>
    <w:rsid w:val="00E8019D"/>
    <w:rsid w:val="00E82EFA"/>
    <w:rsid w:val="00E85DEE"/>
    <w:rsid w:val="00E8661C"/>
    <w:rsid w:val="00E90B9E"/>
    <w:rsid w:val="00E91698"/>
    <w:rsid w:val="00E9224E"/>
    <w:rsid w:val="00E95E6F"/>
    <w:rsid w:val="00EA0F40"/>
    <w:rsid w:val="00EA4824"/>
    <w:rsid w:val="00EA60EC"/>
    <w:rsid w:val="00EA695C"/>
    <w:rsid w:val="00EA7329"/>
    <w:rsid w:val="00EB107C"/>
    <w:rsid w:val="00EC2AB2"/>
    <w:rsid w:val="00EC3C65"/>
    <w:rsid w:val="00ED15E4"/>
    <w:rsid w:val="00ED61F4"/>
    <w:rsid w:val="00ED672C"/>
    <w:rsid w:val="00EE1360"/>
    <w:rsid w:val="00EE2615"/>
    <w:rsid w:val="00EE519C"/>
    <w:rsid w:val="00EE5340"/>
    <w:rsid w:val="00EF0EEC"/>
    <w:rsid w:val="00F03BDB"/>
    <w:rsid w:val="00F0460C"/>
    <w:rsid w:val="00F04F2B"/>
    <w:rsid w:val="00F11CC8"/>
    <w:rsid w:val="00F12F11"/>
    <w:rsid w:val="00F13683"/>
    <w:rsid w:val="00F13FC6"/>
    <w:rsid w:val="00F14159"/>
    <w:rsid w:val="00F2690E"/>
    <w:rsid w:val="00F3185E"/>
    <w:rsid w:val="00F3283F"/>
    <w:rsid w:val="00F35306"/>
    <w:rsid w:val="00F36C60"/>
    <w:rsid w:val="00F40057"/>
    <w:rsid w:val="00F42C40"/>
    <w:rsid w:val="00F444E6"/>
    <w:rsid w:val="00F44DBE"/>
    <w:rsid w:val="00F45975"/>
    <w:rsid w:val="00F45B75"/>
    <w:rsid w:val="00F46EB2"/>
    <w:rsid w:val="00F502D7"/>
    <w:rsid w:val="00F52D60"/>
    <w:rsid w:val="00F60019"/>
    <w:rsid w:val="00F611BC"/>
    <w:rsid w:val="00F620E2"/>
    <w:rsid w:val="00F63417"/>
    <w:rsid w:val="00F65C9E"/>
    <w:rsid w:val="00F71E9B"/>
    <w:rsid w:val="00F7426B"/>
    <w:rsid w:val="00F750E8"/>
    <w:rsid w:val="00F765FA"/>
    <w:rsid w:val="00F83F0C"/>
    <w:rsid w:val="00F860EF"/>
    <w:rsid w:val="00F8674D"/>
    <w:rsid w:val="00F8710F"/>
    <w:rsid w:val="00F87F33"/>
    <w:rsid w:val="00F91489"/>
    <w:rsid w:val="00F914C4"/>
    <w:rsid w:val="00F94492"/>
    <w:rsid w:val="00F944C1"/>
    <w:rsid w:val="00F954FE"/>
    <w:rsid w:val="00F95EED"/>
    <w:rsid w:val="00F976FA"/>
    <w:rsid w:val="00FA024D"/>
    <w:rsid w:val="00FA2DBC"/>
    <w:rsid w:val="00FA5E52"/>
    <w:rsid w:val="00FA70D6"/>
    <w:rsid w:val="00FA7757"/>
    <w:rsid w:val="00FA77C5"/>
    <w:rsid w:val="00FB0308"/>
    <w:rsid w:val="00FB1D66"/>
    <w:rsid w:val="00FB2033"/>
    <w:rsid w:val="00FB3998"/>
    <w:rsid w:val="00FB3DF2"/>
    <w:rsid w:val="00FB4146"/>
    <w:rsid w:val="00FB5D03"/>
    <w:rsid w:val="00FC1956"/>
    <w:rsid w:val="00FD21EB"/>
    <w:rsid w:val="00FD2E35"/>
    <w:rsid w:val="00FE412F"/>
    <w:rsid w:val="00FE5548"/>
    <w:rsid w:val="00FE6100"/>
    <w:rsid w:val="00FF51A0"/>
    <w:rsid w:val="00FF6036"/>
    <w:rsid w:val="00FF664C"/>
    <w:rsid w:val="00FF7727"/>
    <w:rsid w:val="01B8645F"/>
    <w:rsid w:val="01C2143E"/>
    <w:rsid w:val="01DE2F9B"/>
    <w:rsid w:val="02CD47AD"/>
    <w:rsid w:val="03034F6B"/>
    <w:rsid w:val="06575E5C"/>
    <w:rsid w:val="06BE397D"/>
    <w:rsid w:val="084A6CA8"/>
    <w:rsid w:val="0AEA2396"/>
    <w:rsid w:val="0C1E72E9"/>
    <w:rsid w:val="0C9E5B83"/>
    <w:rsid w:val="0F5B1FBE"/>
    <w:rsid w:val="0FD0094D"/>
    <w:rsid w:val="10D66437"/>
    <w:rsid w:val="158346B4"/>
    <w:rsid w:val="1599065D"/>
    <w:rsid w:val="17A93DE2"/>
    <w:rsid w:val="180C0000"/>
    <w:rsid w:val="18156635"/>
    <w:rsid w:val="1846329D"/>
    <w:rsid w:val="195F7C30"/>
    <w:rsid w:val="1B405EB4"/>
    <w:rsid w:val="1D7F2551"/>
    <w:rsid w:val="1E852579"/>
    <w:rsid w:val="20375F83"/>
    <w:rsid w:val="21035D38"/>
    <w:rsid w:val="235A701C"/>
    <w:rsid w:val="255F7D1A"/>
    <w:rsid w:val="28923C78"/>
    <w:rsid w:val="29262305"/>
    <w:rsid w:val="29BE3608"/>
    <w:rsid w:val="2A700EAD"/>
    <w:rsid w:val="2F93612B"/>
    <w:rsid w:val="2FB55274"/>
    <w:rsid w:val="31464C5A"/>
    <w:rsid w:val="32801ACB"/>
    <w:rsid w:val="32CB34CA"/>
    <w:rsid w:val="334271D8"/>
    <w:rsid w:val="341222FE"/>
    <w:rsid w:val="35DA3E68"/>
    <w:rsid w:val="37CF1D30"/>
    <w:rsid w:val="38777FB4"/>
    <w:rsid w:val="39F738A8"/>
    <w:rsid w:val="3A8B34F5"/>
    <w:rsid w:val="3EE470B4"/>
    <w:rsid w:val="42312DB5"/>
    <w:rsid w:val="44A57DDF"/>
    <w:rsid w:val="44D67D11"/>
    <w:rsid w:val="4B5A583A"/>
    <w:rsid w:val="4BE647E3"/>
    <w:rsid w:val="4D4148A5"/>
    <w:rsid w:val="4E152629"/>
    <w:rsid w:val="520B6446"/>
    <w:rsid w:val="54560AEA"/>
    <w:rsid w:val="55FC6467"/>
    <w:rsid w:val="5762489B"/>
    <w:rsid w:val="57FE046D"/>
    <w:rsid w:val="59620F95"/>
    <w:rsid w:val="5A1F3877"/>
    <w:rsid w:val="5A41036C"/>
    <w:rsid w:val="5CB32812"/>
    <w:rsid w:val="5DA11D9A"/>
    <w:rsid w:val="5DD3694E"/>
    <w:rsid w:val="5F682587"/>
    <w:rsid w:val="5FEFF984"/>
    <w:rsid w:val="617566CD"/>
    <w:rsid w:val="61805C84"/>
    <w:rsid w:val="638B14CC"/>
    <w:rsid w:val="64D438E9"/>
    <w:rsid w:val="64E6352D"/>
    <w:rsid w:val="65032674"/>
    <w:rsid w:val="653D7CF9"/>
    <w:rsid w:val="65ED0D46"/>
    <w:rsid w:val="6A973ECA"/>
    <w:rsid w:val="6C36572C"/>
    <w:rsid w:val="6C404029"/>
    <w:rsid w:val="6EB93B5D"/>
    <w:rsid w:val="6F435143"/>
    <w:rsid w:val="6FA42FFA"/>
    <w:rsid w:val="706349B0"/>
    <w:rsid w:val="70B0102E"/>
    <w:rsid w:val="74512B28"/>
    <w:rsid w:val="747F0829"/>
    <w:rsid w:val="79A100AE"/>
    <w:rsid w:val="79E53BE5"/>
    <w:rsid w:val="7BAA082A"/>
    <w:rsid w:val="7C480EDB"/>
    <w:rsid w:val="7EAF288D"/>
    <w:rsid w:val="7F807833"/>
    <w:rsid w:val="FE7F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38"/>
    <w:qFormat/>
    <w:uiPriority w:val="0"/>
    <w:rPr>
      <w:rFonts w:ascii="宋体" w:hAnsi="Courier New"/>
      <w:szCs w:val="24"/>
    </w:rPr>
  </w:style>
  <w:style w:type="paragraph" w:styleId="6">
    <w:name w:val="Normal Indent"/>
    <w:basedOn w:val="1"/>
    <w:next w:val="7"/>
    <w:link w:val="35"/>
    <w:qFormat/>
    <w:uiPriority w:val="0"/>
    <w:pPr>
      <w:ind w:firstLine="420"/>
    </w:pPr>
    <w:rPr>
      <w:rFonts w:ascii="Calibri" w:hAnsi="Calibri"/>
      <w:szCs w:val="20"/>
    </w:rPr>
  </w:style>
  <w:style w:type="paragraph" w:customStyle="1" w:styleId="7">
    <w:name w:val="正文首行缩进2个字 Char"/>
    <w:basedOn w:val="1"/>
    <w:qFormat/>
    <w:uiPriority w:val="0"/>
    <w:pPr>
      <w:ind w:firstLine="480" w:firstLineChars="200"/>
    </w:pPr>
    <w:rPr>
      <w:rFonts w:ascii="Calibri" w:hAnsi="Calibri" w:eastAsia="楷体"/>
      <w:sz w:val="24"/>
      <w:szCs w:val="24"/>
    </w:rPr>
  </w:style>
  <w:style w:type="paragraph" w:styleId="8">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9">
    <w:name w:val="annotation text"/>
    <w:basedOn w:val="1"/>
    <w:link w:val="36"/>
    <w:unhideWhenUsed/>
    <w:qFormat/>
    <w:uiPriority w:val="0"/>
    <w:pPr>
      <w:jc w:val="left"/>
    </w:pPr>
    <w:rPr>
      <w:rFonts w:ascii="Calibri" w:hAnsi="Calibri"/>
      <w:szCs w:val="24"/>
    </w:rPr>
  </w:style>
  <w:style w:type="paragraph" w:styleId="10">
    <w:name w:val="Body Text"/>
    <w:basedOn w:val="1"/>
    <w:next w:val="1"/>
    <w:link w:val="32"/>
    <w:unhideWhenUsed/>
    <w:qFormat/>
    <w:uiPriority w:val="99"/>
    <w:pPr>
      <w:ind w:left="118"/>
    </w:pPr>
    <w:rPr>
      <w:rFonts w:ascii="宋体" w:hAnsi="宋体"/>
    </w:rPr>
  </w:style>
  <w:style w:type="paragraph" w:styleId="11">
    <w:name w:val="Body Text Indent"/>
    <w:basedOn w:val="1"/>
    <w:next w:val="12"/>
    <w:link w:val="37"/>
    <w:unhideWhenUsed/>
    <w:qFormat/>
    <w:uiPriority w:val="99"/>
    <w:pPr>
      <w:spacing w:after="120"/>
      <w:ind w:left="420" w:leftChars="200"/>
    </w:pPr>
  </w:style>
  <w:style w:type="paragraph" w:styleId="12">
    <w:name w:val="Body Text Indent 2"/>
    <w:basedOn w:val="1"/>
    <w:next w:val="8"/>
    <w:link w:val="40"/>
    <w:unhideWhenUsed/>
    <w:qFormat/>
    <w:uiPriority w:val="99"/>
    <w:pPr>
      <w:spacing w:after="120" w:line="480" w:lineRule="auto"/>
      <w:ind w:left="420" w:leftChars="200"/>
    </w:pPr>
  </w:style>
  <w:style w:type="paragraph" w:styleId="13">
    <w:name w:val="Date"/>
    <w:basedOn w:val="1"/>
    <w:next w:val="1"/>
    <w:link w:val="39"/>
    <w:unhideWhenUsed/>
    <w:qFormat/>
    <w:uiPriority w:val="99"/>
    <w:pPr>
      <w:ind w:left="100" w:leftChars="2500"/>
    </w:pPr>
    <w:rPr>
      <w:rFonts w:ascii="Calibri" w:hAnsi="Calibri"/>
      <w:szCs w:val="24"/>
    </w:rPr>
  </w:style>
  <w:style w:type="paragraph" w:styleId="14">
    <w:name w:val="Balloon Text"/>
    <w:basedOn w:val="1"/>
    <w:link w:val="41"/>
    <w:unhideWhenUsed/>
    <w:qFormat/>
    <w:uiPriority w:val="99"/>
    <w:rPr>
      <w:sz w:val="18"/>
      <w:szCs w:val="18"/>
    </w:rPr>
  </w:style>
  <w:style w:type="paragraph" w:styleId="15">
    <w:name w:val="footer"/>
    <w:basedOn w:val="1"/>
    <w:link w:val="42"/>
    <w:unhideWhenUsed/>
    <w:qFormat/>
    <w:uiPriority w:val="99"/>
    <w:pPr>
      <w:tabs>
        <w:tab w:val="center" w:pos="4153"/>
        <w:tab w:val="right" w:pos="8306"/>
      </w:tabs>
      <w:snapToGrid w:val="0"/>
      <w:jc w:val="left"/>
    </w:pPr>
    <w:rPr>
      <w:sz w:val="18"/>
      <w:szCs w:val="18"/>
    </w:rPr>
  </w:style>
  <w:style w:type="paragraph" w:styleId="16">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4"/>
    <w:unhideWhenUsed/>
    <w:qFormat/>
    <w:uiPriority w:val="99"/>
    <w:pPr>
      <w:spacing w:after="120"/>
      <w:ind w:left="420" w:leftChars="200"/>
    </w:pPr>
    <w:rPr>
      <w:rFonts w:ascii="Calibri" w:hAnsi="Calibri"/>
      <w:sz w:val="16"/>
      <w:szCs w:val="16"/>
    </w:rPr>
  </w:style>
  <w:style w:type="paragraph" w:styleId="18">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9">
    <w:name w:val="Title"/>
    <w:basedOn w:val="1"/>
    <w:next w:val="1"/>
    <w:link w:val="45"/>
    <w:qFormat/>
    <w:uiPriority w:val="0"/>
    <w:pPr>
      <w:spacing w:before="240" w:after="60"/>
      <w:jc w:val="center"/>
      <w:outlineLvl w:val="0"/>
    </w:pPr>
    <w:rPr>
      <w:rFonts w:ascii="Cambria" w:hAnsi="Cambria"/>
      <w:b/>
      <w:bCs/>
      <w:sz w:val="32"/>
      <w:szCs w:val="32"/>
    </w:rPr>
  </w:style>
  <w:style w:type="paragraph" w:styleId="20">
    <w:name w:val="Body Text First Indent"/>
    <w:basedOn w:val="10"/>
    <w:next w:val="1"/>
    <w:qFormat/>
    <w:uiPriority w:val="0"/>
    <w:pPr>
      <w:ind w:firstLine="420" w:firstLineChars="100"/>
    </w:pPr>
  </w:style>
  <w:style w:type="paragraph" w:styleId="21">
    <w:name w:val="Body Text First Indent 2"/>
    <w:basedOn w:val="11"/>
    <w:next w:val="1"/>
    <w:qFormat/>
    <w:uiPriority w:val="0"/>
    <w:pPr>
      <w:ind w:firstLine="420"/>
    </w:pPr>
    <w:rPr>
      <w:snapToGrid w:val="0"/>
      <w:kern w:val="0"/>
    </w:r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qFormat/>
    <w:uiPriority w:val="0"/>
    <w:rPr>
      <w:b/>
      <w:bCs/>
    </w:rPr>
  </w:style>
  <w:style w:type="character" w:styleId="26">
    <w:name w:val="page number"/>
    <w:basedOn w:val="24"/>
    <w:qFormat/>
    <w:uiPriority w:val="0"/>
  </w:style>
  <w:style w:type="character" w:styleId="27">
    <w:name w:val="Hyperlink"/>
    <w:unhideWhenUsed/>
    <w:qFormat/>
    <w:uiPriority w:val="99"/>
    <w:rPr>
      <w:color w:val="0563C1"/>
      <w:u w:val="single"/>
    </w:rPr>
  </w:style>
  <w:style w:type="character" w:styleId="28">
    <w:name w:val="annotation reference"/>
    <w:qFormat/>
    <w:uiPriority w:val="0"/>
    <w:rPr>
      <w:sz w:val="21"/>
      <w:szCs w:val="21"/>
    </w:rPr>
  </w:style>
  <w:style w:type="paragraph" w:customStyle="1" w:styleId="29">
    <w:name w:val="Default"/>
    <w:basedOn w:val="30"/>
    <w:next w:val="3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0">
    <w:name w:val="标题2"/>
    <w:basedOn w:val="4"/>
    <w:qFormat/>
    <w:uiPriority w:val="0"/>
    <w:pPr>
      <w:numPr>
        <w:ilvl w:val="1"/>
        <w:numId w:val="1"/>
      </w:numPr>
      <w:spacing w:before="0" w:after="0" w:line="440" w:lineRule="exact"/>
    </w:pPr>
    <w:rPr>
      <w:kern w:val="0"/>
      <w:sz w:val="28"/>
    </w:rPr>
  </w:style>
  <w:style w:type="paragraph" w:customStyle="1" w:styleId="31">
    <w:name w:val="1正文段落"/>
    <w:basedOn w:val="1"/>
    <w:qFormat/>
    <w:uiPriority w:val="0"/>
    <w:pPr>
      <w:widowControl/>
      <w:spacing w:line="360" w:lineRule="auto"/>
      <w:ind w:firstLine="480" w:firstLineChars="200"/>
      <w:jc w:val="left"/>
    </w:pPr>
    <w:rPr>
      <w:rFonts w:ascii="宋体" w:hAnsi="宋体" w:cs="宋体"/>
      <w:snapToGrid w:val="0"/>
      <w:kern w:val="0"/>
      <w:sz w:val="24"/>
      <w:szCs w:val="24"/>
    </w:rPr>
  </w:style>
  <w:style w:type="character" w:customStyle="1" w:styleId="32">
    <w:name w:val="正文文本 字符"/>
    <w:basedOn w:val="24"/>
    <w:link w:val="10"/>
    <w:qFormat/>
    <w:uiPriority w:val="99"/>
    <w:rPr>
      <w:rFonts w:ascii="宋体" w:hAnsi="宋体" w:eastAsia="宋体" w:cs="Times New Roman"/>
    </w:rPr>
  </w:style>
  <w:style w:type="character" w:customStyle="1" w:styleId="33">
    <w:name w:val="标题 1 字符"/>
    <w:basedOn w:val="24"/>
    <w:link w:val="3"/>
    <w:qFormat/>
    <w:uiPriority w:val="0"/>
    <w:rPr>
      <w:rFonts w:ascii="Times New Roman" w:hAnsi="Times New Roman" w:eastAsia="宋体" w:cs="Times New Roman"/>
      <w:b/>
      <w:bCs/>
      <w:kern w:val="44"/>
      <w:sz w:val="44"/>
      <w:szCs w:val="44"/>
    </w:rPr>
  </w:style>
  <w:style w:type="character" w:customStyle="1" w:styleId="34">
    <w:name w:val="标题 2 字符"/>
    <w:basedOn w:val="24"/>
    <w:link w:val="4"/>
    <w:qFormat/>
    <w:uiPriority w:val="9"/>
    <w:rPr>
      <w:rFonts w:ascii="等线 Light" w:hAnsi="等线 Light" w:eastAsia="等线 Light" w:cs="Times New Roman"/>
      <w:b/>
      <w:bCs/>
      <w:kern w:val="2"/>
      <w:sz w:val="32"/>
      <w:szCs w:val="32"/>
    </w:rPr>
  </w:style>
  <w:style w:type="character" w:customStyle="1" w:styleId="35">
    <w:name w:val="正文缩进 字符"/>
    <w:link w:val="6"/>
    <w:qFormat/>
    <w:uiPriority w:val="0"/>
    <w:rPr>
      <w:kern w:val="2"/>
      <w:sz w:val="21"/>
    </w:rPr>
  </w:style>
  <w:style w:type="character" w:customStyle="1" w:styleId="36">
    <w:name w:val="批注文字 字符"/>
    <w:basedOn w:val="24"/>
    <w:link w:val="9"/>
    <w:qFormat/>
    <w:uiPriority w:val="0"/>
    <w:rPr>
      <w:rFonts w:ascii="Times New Roman" w:hAnsi="Times New Roman" w:eastAsia="宋体" w:cs="Times New Roman"/>
    </w:rPr>
  </w:style>
  <w:style w:type="character" w:customStyle="1" w:styleId="37">
    <w:name w:val="正文文本缩进 字符"/>
    <w:basedOn w:val="24"/>
    <w:link w:val="11"/>
    <w:qFormat/>
    <w:uiPriority w:val="0"/>
    <w:rPr>
      <w:rFonts w:ascii="Times New Roman" w:hAnsi="Times New Roman" w:eastAsia="宋体" w:cs="Times New Roman"/>
      <w:kern w:val="2"/>
      <w:sz w:val="21"/>
      <w:szCs w:val="22"/>
    </w:rPr>
  </w:style>
  <w:style w:type="character" w:customStyle="1" w:styleId="38">
    <w:name w:val="纯文本 字符"/>
    <w:basedOn w:val="24"/>
    <w:link w:val="2"/>
    <w:qFormat/>
    <w:uiPriority w:val="0"/>
    <w:rPr>
      <w:rFonts w:ascii="宋体" w:hAnsi="Courier New" w:eastAsia="宋体" w:cs="Courier New"/>
      <w:szCs w:val="21"/>
    </w:rPr>
  </w:style>
  <w:style w:type="character" w:customStyle="1" w:styleId="39">
    <w:name w:val="日期 字符"/>
    <w:basedOn w:val="24"/>
    <w:link w:val="13"/>
    <w:semiHidden/>
    <w:qFormat/>
    <w:uiPriority w:val="99"/>
    <w:rPr>
      <w:rFonts w:ascii="Times New Roman" w:hAnsi="Times New Roman" w:eastAsia="宋体" w:cs="Times New Roman"/>
      <w:kern w:val="2"/>
      <w:sz w:val="21"/>
      <w:szCs w:val="22"/>
    </w:rPr>
  </w:style>
  <w:style w:type="character" w:customStyle="1" w:styleId="40">
    <w:name w:val="正文文本缩进 2 字符"/>
    <w:basedOn w:val="24"/>
    <w:link w:val="12"/>
    <w:qFormat/>
    <w:uiPriority w:val="99"/>
    <w:rPr>
      <w:rFonts w:ascii="Times New Roman" w:hAnsi="Times New Roman" w:eastAsia="宋体" w:cs="Times New Roman"/>
      <w:kern w:val="2"/>
      <w:sz w:val="21"/>
      <w:szCs w:val="22"/>
    </w:rPr>
  </w:style>
  <w:style w:type="character" w:customStyle="1" w:styleId="41">
    <w:name w:val="批注框文本 字符"/>
    <w:basedOn w:val="24"/>
    <w:link w:val="14"/>
    <w:semiHidden/>
    <w:qFormat/>
    <w:uiPriority w:val="99"/>
    <w:rPr>
      <w:rFonts w:ascii="Times New Roman" w:hAnsi="Times New Roman" w:eastAsia="宋体" w:cs="Times New Roman"/>
      <w:kern w:val="2"/>
      <w:sz w:val="18"/>
      <w:szCs w:val="18"/>
    </w:rPr>
  </w:style>
  <w:style w:type="character" w:customStyle="1" w:styleId="42">
    <w:name w:val="页脚 字符"/>
    <w:basedOn w:val="24"/>
    <w:link w:val="15"/>
    <w:semiHidden/>
    <w:qFormat/>
    <w:uiPriority w:val="99"/>
    <w:rPr>
      <w:rFonts w:ascii="Times New Roman" w:hAnsi="Times New Roman" w:eastAsia="宋体" w:cs="Times New Roman"/>
      <w:sz w:val="18"/>
      <w:szCs w:val="18"/>
    </w:rPr>
  </w:style>
  <w:style w:type="character" w:customStyle="1" w:styleId="43">
    <w:name w:val="页眉 字符"/>
    <w:basedOn w:val="24"/>
    <w:link w:val="16"/>
    <w:semiHidden/>
    <w:qFormat/>
    <w:uiPriority w:val="99"/>
    <w:rPr>
      <w:rFonts w:ascii="Times New Roman" w:hAnsi="Times New Roman" w:eastAsia="宋体" w:cs="Times New Roman"/>
      <w:sz w:val="18"/>
      <w:szCs w:val="18"/>
    </w:rPr>
  </w:style>
  <w:style w:type="character" w:customStyle="1" w:styleId="44">
    <w:name w:val="正文文本缩进 3 字符"/>
    <w:link w:val="17"/>
    <w:qFormat/>
    <w:uiPriority w:val="99"/>
    <w:rPr>
      <w:kern w:val="2"/>
      <w:sz w:val="16"/>
      <w:szCs w:val="16"/>
    </w:rPr>
  </w:style>
  <w:style w:type="character" w:customStyle="1" w:styleId="45">
    <w:name w:val="标题 字符1"/>
    <w:link w:val="19"/>
    <w:qFormat/>
    <w:uiPriority w:val="0"/>
    <w:rPr>
      <w:rFonts w:ascii="Cambria" w:hAnsi="Cambria"/>
      <w:b/>
      <w:bCs/>
      <w:kern w:val="2"/>
      <w:sz w:val="32"/>
      <w:szCs w:val="32"/>
    </w:rPr>
  </w:style>
  <w:style w:type="character" w:customStyle="1" w:styleId="46">
    <w:name w:val="批注文字 Char"/>
    <w:qFormat/>
    <w:uiPriority w:val="99"/>
    <w:rPr>
      <w:szCs w:val="24"/>
    </w:rPr>
  </w:style>
  <w:style w:type="character" w:customStyle="1" w:styleId="47">
    <w:name w:val="纯文本 Char"/>
    <w:qFormat/>
    <w:uiPriority w:val="99"/>
    <w:rPr>
      <w:rFonts w:ascii="宋体" w:hAnsi="Courier New"/>
      <w:szCs w:val="24"/>
    </w:rPr>
  </w:style>
  <w:style w:type="character" w:customStyle="1" w:styleId="48">
    <w:name w:val="fontstyle01"/>
    <w:basedOn w:val="24"/>
    <w:qFormat/>
    <w:uiPriority w:val="0"/>
    <w:rPr>
      <w:rFonts w:ascii="宋体" w:hAnsi="宋体" w:eastAsia="宋体" w:cs="宋体"/>
      <w:color w:val="000000"/>
      <w:sz w:val="22"/>
      <w:szCs w:val="22"/>
    </w:rPr>
  </w:style>
  <w:style w:type="character" w:customStyle="1" w:styleId="49">
    <w:name w:val="报告表正文 Char Char"/>
    <w:basedOn w:val="24"/>
    <w:link w:val="50"/>
    <w:qFormat/>
    <w:uiPriority w:val="0"/>
    <w:rPr>
      <w:sz w:val="24"/>
      <w:szCs w:val="24"/>
    </w:rPr>
  </w:style>
  <w:style w:type="paragraph" w:customStyle="1" w:styleId="50">
    <w:name w:val="报告表正文"/>
    <w:link w:val="49"/>
    <w:qFormat/>
    <w:uiPriority w:val="0"/>
    <w:pPr>
      <w:spacing w:line="360" w:lineRule="auto"/>
      <w:ind w:firstLine="480" w:firstLineChars="200"/>
      <w:jc w:val="both"/>
    </w:pPr>
    <w:rPr>
      <w:rFonts w:ascii="Calibri" w:hAnsi="Calibri" w:eastAsia="宋体" w:cs="Times New Roman"/>
      <w:sz w:val="24"/>
      <w:szCs w:val="24"/>
      <w:lang w:val="en-US" w:eastAsia="zh-CN" w:bidi="ar-SA"/>
    </w:rPr>
  </w:style>
  <w:style w:type="character" w:customStyle="1" w:styleId="51">
    <w:name w:val="日期 Char"/>
    <w:qFormat/>
    <w:uiPriority w:val="99"/>
    <w:rPr>
      <w:kern w:val="2"/>
      <w:sz w:val="21"/>
      <w:szCs w:val="24"/>
    </w:rPr>
  </w:style>
  <w:style w:type="character" w:customStyle="1" w:styleId="52">
    <w:name w:val="正文文本缩进 3 Char1"/>
    <w:basedOn w:val="24"/>
    <w:semiHidden/>
    <w:qFormat/>
    <w:uiPriority w:val="99"/>
    <w:rPr>
      <w:rFonts w:ascii="Times New Roman" w:hAnsi="Times New Roman" w:eastAsia="宋体" w:cs="Times New Roman"/>
      <w:kern w:val="2"/>
      <w:sz w:val="16"/>
      <w:szCs w:val="16"/>
    </w:rPr>
  </w:style>
  <w:style w:type="character" w:customStyle="1" w:styleId="53">
    <w:name w:val="表 Char"/>
    <w:link w:val="54"/>
    <w:qFormat/>
    <w:uiPriority w:val="0"/>
    <w:rPr>
      <w:spacing w:val="2"/>
      <w:kern w:val="2"/>
      <w:sz w:val="21"/>
    </w:rPr>
  </w:style>
  <w:style w:type="paragraph" w:customStyle="1" w:styleId="54">
    <w:name w:val="表"/>
    <w:basedOn w:val="1"/>
    <w:link w:val="53"/>
    <w:qFormat/>
    <w:uiPriority w:val="0"/>
    <w:pPr>
      <w:snapToGrid w:val="0"/>
      <w:jc w:val="center"/>
    </w:pPr>
    <w:rPr>
      <w:rFonts w:ascii="Calibri" w:hAnsi="Calibri"/>
      <w:spacing w:val="2"/>
      <w:szCs w:val="20"/>
    </w:rPr>
  </w:style>
  <w:style w:type="paragraph" w:styleId="55">
    <w:name w:val="List Paragraph"/>
    <w:basedOn w:val="1"/>
    <w:unhideWhenUsed/>
    <w:qFormat/>
    <w:uiPriority w:val="99"/>
    <w:pPr>
      <w:ind w:firstLine="420" w:firstLineChars="200"/>
    </w:pPr>
  </w:style>
  <w:style w:type="character" w:customStyle="1" w:styleId="56">
    <w:name w:val="正文1 Char"/>
    <w:qFormat/>
    <w:uiPriority w:val="0"/>
    <w:rPr>
      <w:rFonts w:eastAsia="宋体"/>
      <w:kern w:val="2"/>
      <w:sz w:val="28"/>
      <w:lang w:val="en-US" w:eastAsia="zh-CN" w:bidi="ar-SA"/>
    </w:rPr>
  </w:style>
  <w:style w:type="character" w:customStyle="1" w:styleId="57">
    <w:name w:val="正文1 Char Char"/>
    <w:link w:val="58"/>
    <w:qFormat/>
    <w:uiPriority w:val="0"/>
    <w:rPr>
      <w:kern w:val="2"/>
      <w:sz w:val="28"/>
      <w:szCs w:val="24"/>
    </w:rPr>
  </w:style>
  <w:style w:type="paragraph" w:customStyle="1" w:styleId="58">
    <w:name w:val="正文1"/>
    <w:basedOn w:val="1"/>
    <w:link w:val="57"/>
    <w:qFormat/>
    <w:uiPriority w:val="0"/>
    <w:pPr>
      <w:adjustRightInd w:val="0"/>
      <w:snapToGrid w:val="0"/>
      <w:spacing w:line="500" w:lineRule="atLeast"/>
      <w:ind w:firstLine="567"/>
    </w:pPr>
    <w:rPr>
      <w:rFonts w:ascii="Calibri" w:hAnsi="Calibri"/>
      <w:sz w:val="28"/>
      <w:szCs w:val="24"/>
    </w:rPr>
  </w:style>
  <w:style w:type="character" w:customStyle="1" w:styleId="59">
    <w:name w:val="标题 1 Char"/>
    <w:qFormat/>
    <w:uiPriority w:val="0"/>
    <w:rPr>
      <w:rFonts w:ascii="Cambria" w:hAnsi="Cambria" w:eastAsia="宋体"/>
      <w:b/>
      <w:bCs/>
      <w:kern w:val="32"/>
      <w:sz w:val="32"/>
      <w:szCs w:val="32"/>
      <w:lang w:val="en-US" w:eastAsia="en-US" w:bidi="ar-SA"/>
    </w:rPr>
  </w:style>
  <w:style w:type="character" w:customStyle="1" w:styleId="60">
    <w:name w:val="正文缩进 Char"/>
    <w:qFormat/>
    <w:uiPriority w:val="0"/>
    <w:rPr>
      <w:kern w:val="2"/>
      <w:sz w:val="21"/>
    </w:rPr>
  </w:style>
  <w:style w:type="character" w:customStyle="1" w:styleId="61">
    <w:name w:val="标题 字符"/>
    <w:basedOn w:val="24"/>
    <w:qFormat/>
    <w:uiPriority w:val="10"/>
    <w:rPr>
      <w:rFonts w:ascii="Cambria" w:hAnsi="Cambria" w:eastAsia="宋体" w:cs="Times New Roman"/>
      <w:b/>
      <w:bCs/>
      <w:kern w:val="2"/>
      <w:sz w:val="32"/>
      <w:szCs w:val="32"/>
    </w:rPr>
  </w:style>
  <w:style w:type="paragraph" w:customStyle="1" w:styleId="62">
    <w:name w:val="xl27"/>
    <w:basedOn w:val="1"/>
    <w:qFormat/>
    <w:uiPriority w:val="0"/>
    <w:pPr>
      <w:widowControl/>
      <w:spacing w:before="100" w:after="100"/>
      <w:jc w:val="center"/>
    </w:pPr>
    <w:rPr>
      <w:rFonts w:ascii="宋体" w:hAnsi="宋体"/>
      <w:kern w:val="0"/>
    </w:rPr>
  </w:style>
  <w:style w:type="character" w:customStyle="1" w:styleId="63">
    <w:name w:val="15"/>
    <w:basedOn w:val="2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4931</Words>
  <Characters>5693</Characters>
  <Lines>1</Lines>
  <Paragraphs>1</Paragraphs>
  <TotalTime>3</TotalTime>
  <ScaleCrop>false</ScaleCrop>
  <LinksUpToDate>false</LinksUpToDate>
  <CharactersWithSpaces>5700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2023-11-19T09:13:00Z</dcterms:created>
  <dc:creator>admin</dc:creator>
  <cp:lastModifiedBy>小刘小刘</cp:lastModifiedBy>
  <cp:lastPrinted>2024-11-01T05:39:00Z</cp:lastPrinted>
  <dcterms:modified xsi:type="dcterms:W3CDTF">2025-02-28T01:19:16Z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355AA177C47E4A889FFD7A02F5BC0FF0_13</vt:lpwstr>
  </property>
  <property fmtid="{D5CDD505-2E9C-101B-9397-08002B2CF9AE}" pid="4" name="KSOTemplateDocerSaveRecord">
    <vt:lpwstr>eyJoZGlkIjoiZmRmMjBjMGMwNDc5Y2Y5NDNjZGUyZmE4MTcxYzUzNGUiLCJ1c2VySWQiOiIxOTk4ODQ4NTIifQ==</vt:lpwstr>
  </property>
</Properties>
</file>